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B02D66" w14:textId="77777777" w:rsidR="00D2627E" w:rsidRPr="005B3F4C" w:rsidRDefault="00D2627E" w:rsidP="005544B8">
      <w:pPr>
        <w:spacing w:after="0"/>
        <w:jc w:val="both"/>
        <w:rPr>
          <w:bCs/>
          <w:color w:val="87BE28"/>
          <w:sz w:val="36"/>
          <w:szCs w:val="36"/>
          <w:lang w:val="en-GB"/>
        </w:rPr>
      </w:pPr>
      <w:r w:rsidRPr="005B3F4C">
        <w:rPr>
          <w:b/>
          <w:noProof/>
          <w:color w:val="FFC000" w:themeColor="accent4"/>
          <w:sz w:val="36"/>
          <w:szCs w:val="36"/>
          <w:lang w:val="en-GB"/>
        </w:rPr>
        <w:drawing>
          <wp:anchor distT="0" distB="0" distL="114300" distR="114300" simplePos="0" relativeHeight="251668480" behindDoc="0" locked="0" layoutInCell="1" allowOverlap="1" wp14:anchorId="142E7DD6" wp14:editId="466C4833">
            <wp:simplePos x="0" y="0"/>
            <wp:positionH relativeFrom="margin">
              <wp:align>left</wp:align>
            </wp:positionH>
            <wp:positionV relativeFrom="paragraph">
              <wp:posOffset>0</wp:posOffset>
            </wp:positionV>
            <wp:extent cx="600075" cy="570230"/>
            <wp:effectExtent l="0" t="0" r="9525" b="1270"/>
            <wp:wrapSquare wrapText="bothSides"/>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00075" cy="570230"/>
                    </a:xfrm>
                    <a:prstGeom prst="rect">
                      <a:avLst/>
                    </a:prstGeom>
                  </pic:spPr>
                </pic:pic>
              </a:graphicData>
            </a:graphic>
            <wp14:sizeRelH relativeFrom="margin">
              <wp14:pctWidth>0</wp14:pctWidth>
            </wp14:sizeRelH>
            <wp14:sizeRelV relativeFrom="margin">
              <wp14:pctHeight>0</wp14:pctHeight>
            </wp14:sizeRelV>
          </wp:anchor>
        </w:drawing>
      </w:r>
      <w:r w:rsidRPr="005B3F4C">
        <w:rPr>
          <w:b/>
          <w:color w:val="87BE28"/>
          <w:sz w:val="36"/>
          <w:szCs w:val="36"/>
          <w:lang w:val="en-GB"/>
        </w:rPr>
        <w:t>Step 3: Resource mobilisation</w:t>
      </w:r>
      <w:r w:rsidRPr="005B3F4C">
        <w:rPr>
          <w:bCs/>
          <w:color w:val="87BE28"/>
          <w:sz w:val="36"/>
          <w:szCs w:val="36"/>
          <w:lang w:val="en-GB"/>
        </w:rPr>
        <w:t xml:space="preserve"> </w:t>
      </w:r>
    </w:p>
    <w:p w14:paraId="0B80178A" w14:textId="77777777" w:rsidR="00D2627E" w:rsidRPr="00D2627E" w:rsidRDefault="00D2627E" w:rsidP="00D90ACE">
      <w:pPr>
        <w:spacing w:after="0"/>
        <w:ind w:left="357"/>
        <w:jc w:val="both"/>
        <w:rPr>
          <w:bCs/>
          <w:color w:val="87BE28"/>
          <w:sz w:val="36"/>
          <w:szCs w:val="36"/>
          <w:lang w:val="en-GB"/>
        </w:rPr>
      </w:pPr>
      <w:r w:rsidRPr="00D2627E">
        <w:rPr>
          <w:bCs/>
          <w:color w:val="87BE28"/>
          <w:sz w:val="36"/>
          <w:szCs w:val="36"/>
          <w:lang w:val="en-GB"/>
        </w:rPr>
        <w:t>Promising Practices &amp; Resources from Country Clusters</w:t>
      </w:r>
    </w:p>
    <w:p w14:paraId="05BC01D9" w14:textId="3AF7B404" w:rsidR="003814DE" w:rsidRPr="00E503B1" w:rsidRDefault="00D2627E" w:rsidP="00D90ACE">
      <w:pPr>
        <w:spacing w:before="240"/>
        <w:jc w:val="both"/>
        <w:rPr>
          <w:bCs/>
          <w:color w:val="FFC000" w:themeColor="accent4"/>
          <w:sz w:val="36"/>
          <w:szCs w:val="36"/>
          <w:lang w:val="en-GB"/>
        </w:rPr>
      </w:pPr>
      <w:r w:rsidRPr="00D2627E">
        <w:rPr>
          <w:b/>
          <w:noProof/>
          <w:color w:val="87BE28"/>
          <w:sz w:val="20"/>
          <w:szCs w:val="20"/>
          <w:lang w:val="en-GB"/>
        </w:rPr>
        <mc:AlternateContent>
          <mc:Choice Requires="wps">
            <w:drawing>
              <wp:anchor distT="0" distB="0" distL="114300" distR="114300" simplePos="0" relativeHeight="251666432" behindDoc="0" locked="0" layoutInCell="1" allowOverlap="1" wp14:anchorId="6650989C" wp14:editId="284E4668">
                <wp:simplePos x="0" y="0"/>
                <wp:positionH relativeFrom="column">
                  <wp:posOffset>2665730</wp:posOffset>
                </wp:positionH>
                <wp:positionV relativeFrom="paragraph">
                  <wp:posOffset>810260</wp:posOffset>
                </wp:positionV>
                <wp:extent cx="257175" cy="384810"/>
                <wp:effectExtent l="19050" t="0" r="28575" b="15240"/>
                <wp:wrapNone/>
                <wp:docPr id="1" name="Arrow: Chevron 1"/>
                <wp:cNvGraphicFramePr/>
                <a:graphic xmlns:a="http://schemas.openxmlformats.org/drawingml/2006/main">
                  <a:graphicData uri="http://schemas.microsoft.com/office/word/2010/wordprocessingShape">
                    <wps:wsp>
                      <wps:cNvSpPr/>
                      <wps:spPr>
                        <a:xfrm flipV="1">
                          <a:off x="0" y="0"/>
                          <a:ext cx="257175" cy="384810"/>
                        </a:xfrm>
                        <a:prstGeom prst="chevron">
                          <a:avLst>
                            <a:gd name="adj" fmla="val 47469"/>
                          </a:avLst>
                        </a:prstGeom>
                        <a:solidFill>
                          <a:srgbClr val="87BE28"/>
                        </a:solidFill>
                        <a:ln>
                          <a:solidFill>
                            <a:srgbClr val="87BE28"/>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014F7F"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1" o:spid="_x0000_s1026" type="#_x0000_t55" style="position:absolute;margin-left:209.9pt;margin-top:63.8pt;width:20.25pt;height:30.3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" adj="11347" fillcolor="#87be28" strokecolor="#87be28" strokeweight=".5pt"/>
            </w:pict>
          </mc:Fallback>
        </mc:AlternateContent>
      </w:r>
      <w:r w:rsidR="00E70904" w:rsidRPr="002D23F1">
        <w:rPr>
          <w:bCs/>
          <w:lang w:val="en-GB"/>
        </w:rPr>
        <w:t xml:space="preserve">The following table contains promising practices of CP-EiE Collaboration from country clusters and where available, the resources they used. Examples are categorised following the </w:t>
      </w:r>
      <w:hyperlink r:id="rId9" w:history="1">
        <w:r w:rsidR="00E70904" w:rsidRPr="002D23F1">
          <w:rPr>
            <w:rStyle w:val="Hyperlink"/>
            <w:bCs/>
            <w:lang w:val="en-GB"/>
          </w:rPr>
          <w:t>CP-EiE Collaboration Framework</w:t>
        </w:r>
      </w:hyperlink>
      <w:r w:rsidR="00E70904" w:rsidRPr="002D23F1">
        <w:rPr>
          <w:bCs/>
          <w:lang w:val="en-GB"/>
        </w:rPr>
        <w:t xml:space="preserve"> structure. Global resources related to these steps are included at the end. </w:t>
      </w:r>
      <w:r w:rsidR="00E70904" w:rsidRPr="002D23F1">
        <w:rPr>
          <w:bCs/>
          <w:i/>
          <w:iCs/>
          <w:lang w:val="en-GB"/>
        </w:rPr>
        <w:t xml:space="preserve">This is a living compilation of promising practices; if you have examples or tools to </w:t>
      </w:r>
      <w:r>
        <w:rPr>
          <w:bCs/>
          <w:i/>
          <w:iCs/>
          <w:lang w:val="en-GB"/>
        </w:rPr>
        <w:t>add</w:t>
      </w:r>
      <w:r w:rsidR="00E70904" w:rsidRPr="002D23F1">
        <w:rPr>
          <w:bCs/>
          <w:i/>
          <w:iCs/>
          <w:lang w:val="en-GB"/>
        </w:rPr>
        <w:t xml:space="preserve">, please </w:t>
      </w:r>
      <w:hyperlink r:id="rId10" w:history="1">
        <w:r w:rsidR="00E70904" w:rsidRPr="002D23F1">
          <w:rPr>
            <w:rStyle w:val="Hyperlink"/>
            <w:bCs/>
            <w:i/>
            <w:iCs/>
            <w:lang w:val="en-GB"/>
          </w:rPr>
          <w:t>get in contact</w:t>
        </w:r>
      </w:hyperlink>
      <w:r w:rsidR="00E70904" w:rsidRPr="002D23F1">
        <w:rPr>
          <w:bCs/>
          <w:i/>
          <w:iCs/>
          <w:lang w:val="en-GB"/>
        </w:rPr>
        <w:t xml:space="preserve"> with us!</w:t>
      </w:r>
    </w:p>
    <w:tbl>
      <w:tblPr>
        <w:tblStyle w:val="TableGrid"/>
        <w:tblW w:w="14601" w:type="dxa"/>
        <w:tblInd w:w="-866" w:type="dxa"/>
        <w:tblBorders>
          <w:top w:val="single" w:sz="12" w:space="0" w:color="87BE28"/>
          <w:left w:val="single" w:sz="12" w:space="0" w:color="87BE28"/>
          <w:bottom w:val="single" w:sz="12" w:space="0" w:color="87BE28"/>
          <w:right w:val="single" w:sz="12" w:space="0" w:color="87BE28"/>
          <w:insideH w:val="single" w:sz="12" w:space="0" w:color="87BE28"/>
          <w:insideV w:val="single" w:sz="12" w:space="0" w:color="87BE28"/>
        </w:tblBorders>
        <w:tblLayout w:type="fixed"/>
        <w:tblLook w:val="04A0" w:firstRow="1" w:lastRow="0" w:firstColumn="1" w:lastColumn="0" w:noHBand="0" w:noVBand="1"/>
      </w:tblPr>
      <w:tblGrid>
        <w:gridCol w:w="3828"/>
        <w:gridCol w:w="1418"/>
        <w:gridCol w:w="9355"/>
      </w:tblGrid>
      <w:tr w:rsidR="00B0524B" w:rsidRPr="00E503B1" w14:paraId="74BB377A" w14:textId="77777777" w:rsidTr="00D2627E">
        <w:tc>
          <w:tcPr>
            <w:tcW w:w="3828" w:type="dxa"/>
          </w:tcPr>
          <w:p w14:paraId="343A7621" w14:textId="2D3FB4F0" w:rsidR="00B0524B" w:rsidRPr="00D2627E" w:rsidRDefault="00641968" w:rsidP="00FC39BC">
            <w:pPr>
              <w:spacing w:before="40" w:after="40"/>
              <w:jc w:val="center"/>
              <w:rPr>
                <w:b/>
                <w:color w:val="87BE28"/>
                <w:sz w:val="20"/>
                <w:szCs w:val="20"/>
                <w:lang w:val="en-GB"/>
              </w:rPr>
            </w:pPr>
            <w:r>
              <w:rPr>
                <w:b/>
                <w:color w:val="87BE28"/>
                <w:sz w:val="20"/>
                <w:szCs w:val="20"/>
                <w:lang w:val="en-GB"/>
              </w:rPr>
              <w:t xml:space="preserve">3a. </w:t>
            </w:r>
            <w:r w:rsidR="00B0524B" w:rsidRPr="00D2627E">
              <w:rPr>
                <w:b/>
                <w:color w:val="87BE28"/>
                <w:sz w:val="20"/>
                <w:szCs w:val="20"/>
                <w:lang w:val="en-GB"/>
              </w:rPr>
              <w:t>Define resource mobilisation &amp; advocacy responsibilities</w:t>
            </w:r>
          </w:p>
        </w:tc>
        <w:tc>
          <w:tcPr>
            <w:tcW w:w="1418" w:type="dxa"/>
            <w:vAlign w:val="bottom"/>
          </w:tcPr>
          <w:p w14:paraId="41D2A22F" w14:textId="1695BA1A" w:rsidR="00B0524B" w:rsidRPr="00D2627E" w:rsidRDefault="00E70904" w:rsidP="00D2627E">
            <w:pPr>
              <w:spacing w:before="160"/>
              <w:jc w:val="center"/>
              <w:rPr>
                <w:b/>
                <w:color w:val="87BE28"/>
                <w:sz w:val="20"/>
                <w:szCs w:val="20"/>
                <w:lang w:val="en-GB"/>
              </w:rPr>
            </w:pPr>
            <w:r w:rsidRPr="00D2627E">
              <w:rPr>
                <w:b/>
                <w:noProof/>
                <w:color w:val="87BE28"/>
                <w:sz w:val="20"/>
                <w:szCs w:val="20"/>
                <w:lang w:val="en-GB"/>
              </w:rPr>
              <mc:AlternateContent>
                <mc:Choice Requires="wps">
                  <w:drawing>
                    <wp:anchor distT="0" distB="0" distL="114300" distR="114300" simplePos="0" relativeHeight="251664384" behindDoc="0" locked="0" layoutInCell="1" allowOverlap="1" wp14:anchorId="1780AD65" wp14:editId="3B0A1BFB">
                      <wp:simplePos x="0" y="0"/>
                      <wp:positionH relativeFrom="column">
                        <wp:posOffset>-203835</wp:posOffset>
                      </wp:positionH>
                      <wp:positionV relativeFrom="paragraph">
                        <wp:posOffset>-12065</wp:posOffset>
                      </wp:positionV>
                      <wp:extent cx="257175" cy="384810"/>
                      <wp:effectExtent l="19050" t="0" r="28575" b="15240"/>
                      <wp:wrapNone/>
                      <wp:docPr id="7" name="Arrow: Chevron 7"/>
                      <wp:cNvGraphicFramePr/>
                      <a:graphic xmlns:a="http://schemas.openxmlformats.org/drawingml/2006/main">
                        <a:graphicData uri="http://schemas.microsoft.com/office/word/2010/wordprocessingShape">
                          <wps:wsp>
                            <wps:cNvSpPr/>
                            <wps:spPr>
                              <a:xfrm flipV="1">
                                <a:off x="0" y="0"/>
                                <a:ext cx="257175" cy="384810"/>
                              </a:xfrm>
                              <a:prstGeom prst="chevron">
                                <a:avLst>
                                  <a:gd name="adj" fmla="val 47469"/>
                                </a:avLst>
                              </a:prstGeom>
                              <a:solidFill>
                                <a:srgbClr val="87BE28"/>
                              </a:solidFill>
                              <a:ln>
                                <a:solidFill>
                                  <a:srgbClr val="87BE28"/>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9304B3" id="Arrow: Chevron 7" o:spid="_x0000_s1026" type="#_x0000_t55" style="position:absolute;margin-left:-16.05pt;margin-top:-.95pt;width:20.25pt;height:30.3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" adj="11347" fillcolor="#87be28" strokecolor="#87be28" strokeweight=".5pt"/>
                  </w:pict>
                </mc:Fallback>
              </mc:AlternateContent>
            </w:r>
            <w:r w:rsidR="00641968">
              <w:rPr>
                <w:b/>
                <w:color w:val="87BE28"/>
                <w:sz w:val="20"/>
                <w:szCs w:val="20"/>
                <w:lang w:val="en-GB"/>
              </w:rPr>
              <w:t xml:space="preserve">3b. </w:t>
            </w:r>
            <w:r w:rsidR="00B0524B" w:rsidRPr="00D2627E">
              <w:rPr>
                <w:b/>
                <w:color w:val="87BE28"/>
                <w:sz w:val="20"/>
                <w:szCs w:val="20"/>
                <w:lang w:val="en-GB"/>
              </w:rPr>
              <w:t>Costing</w:t>
            </w:r>
          </w:p>
        </w:tc>
        <w:tc>
          <w:tcPr>
            <w:tcW w:w="9355" w:type="dxa"/>
            <w:vAlign w:val="center"/>
          </w:tcPr>
          <w:p w14:paraId="48A4C8E1" w14:textId="4BD17188" w:rsidR="00B0524B" w:rsidRPr="00D2627E" w:rsidRDefault="00641968" w:rsidP="00D2627E">
            <w:pPr>
              <w:spacing w:before="40" w:after="40"/>
              <w:jc w:val="center"/>
              <w:rPr>
                <w:b/>
                <w:color w:val="87BE28"/>
                <w:sz w:val="20"/>
                <w:szCs w:val="20"/>
                <w:lang w:val="en-GB"/>
              </w:rPr>
            </w:pPr>
            <w:r>
              <w:rPr>
                <w:b/>
                <w:color w:val="87BE28"/>
                <w:sz w:val="20"/>
                <w:szCs w:val="20"/>
                <w:lang w:val="en-GB"/>
              </w:rPr>
              <w:t xml:space="preserve">3c. </w:t>
            </w:r>
            <w:r w:rsidR="00B0524B" w:rsidRPr="00D2627E">
              <w:rPr>
                <w:b/>
                <w:color w:val="87BE28"/>
                <w:sz w:val="20"/>
                <w:szCs w:val="20"/>
                <w:lang w:val="en-GB"/>
              </w:rPr>
              <w:t>Agree complementary allocation of resources</w:t>
            </w:r>
          </w:p>
        </w:tc>
      </w:tr>
      <w:tr w:rsidR="00B0524B" w:rsidRPr="00E503B1" w14:paraId="0021DB9B" w14:textId="77777777" w:rsidTr="00D2627E">
        <w:tc>
          <w:tcPr>
            <w:tcW w:w="3828" w:type="dxa"/>
          </w:tcPr>
          <w:p w14:paraId="58460525" w14:textId="2A2D66CD" w:rsidR="00B0524B" w:rsidRPr="00E503B1" w:rsidRDefault="00B0524B" w:rsidP="00E70904">
            <w:pPr>
              <w:spacing w:after="80"/>
              <w:rPr>
                <w:sz w:val="20"/>
                <w:szCs w:val="20"/>
                <w:u w:val="single"/>
                <w:lang w:val="en-GB"/>
              </w:rPr>
            </w:pPr>
            <w:r w:rsidRPr="00E503B1">
              <w:rPr>
                <w:sz w:val="20"/>
                <w:szCs w:val="20"/>
                <w:u w:val="single"/>
                <w:lang w:val="en-GB"/>
              </w:rPr>
              <w:t>Fundraising for integrated responses plans/frameworks</w:t>
            </w:r>
          </w:p>
          <w:p w14:paraId="11404173" w14:textId="77777777" w:rsidR="00B0524B" w:rsidRPr="00E503B1" w:rsidRDefault="00B0524B" w:rsidP="00B0524B">
            <w:pPr>
              <w:pStyle w:val="ListParagraph"/>
              <w:numPr>
                <w:ilvl w:val="0"/>
                <w:numId w:val="13"/>
              </w:numPr>
              <w:spacing w:before="80" w:after="80"/>
              <w:ind w:left="426"/>
              <w:jc w:val="both"/>
              <w:rPr>
                <w:sz w:val="20"/>
                <w:szCs w:val="20"/>
                <w:lang w:val="en-GB"/>
              </w:rPr>
            </w:pPr>
            <w:r w:rsidRPr="00E503B1">
              <w:rPr>
                <w:sz w:val="20"/>
                <w:szCs w:val="20"/>
                <w:lang w:val="en-GB"/>
              </w:rPr>
              <w:t xml:space="preserve">CAR’s Protection Matrix in Education is part of an integrated response plan and is funded </w:t>
            </w:r>
            <w:proofErr w:type="spellStart"/>
            <w:r w:rsidRPr="00E503B1">
              <w:rPr>
                <w:sz w:val="20"/>
                <w:szCs w:val="20"/>
                <w:lang w:val="en-GB"/>
              </w:rPr>
              <w:t>though</w:t>
            </w:r>
            <w:proofErr w:type="spellEnd"/>
            <w:r w:rsidRPr="00E503B1">
              <w:rPr>
                <w:sz w:val="20"/>
                <w:szCs w:val="20"/>
                <w:lang w:val="en-GB"/>
              </w:rPr>
              <w:t xml:space="preserve"> Education donors funding an integrated response plan (</w:t>
            </w:r>
            <w:r w:rsidRPr="00E70904">
              <w:rPr>
                <w:b/>
                <w:bCs/>
                <w:sz w:val="20"/>
                <w:szCs w:val="20"/>
                <w:lang w:val="en-GB"/>
              </w:rPr>
              <w:t>CAR</w:t>
            </w:r>
            <w:r w:rsidRPr="00E503B1">
              <w:rPr>
                <w:sz w:val="20"/>
                <w:szCs w:val="20"/>
                <w:lang w:val="en-GB"/>
              </w:rPr>
              <w:t>)</w:t>
            </w:r>
          </w:p>
          <w:p w14:paraId="59C8403B" w14:textId="77777777" w:rsidR="000F1D4C" w:rsidRPr="00E503B1" w:rsidRDefault="00B0524B" w:rsidP="000F1D4C">
            <w:pPr>
              <w:pStyle w:val="ListParagraph"/>
              <w:numPr>
                <w:ilvl w:val="0"/>
                <w:numId w:val="13"/>
              </w:numPr>
              <w:spacing w:before="80" w:after="80"/>
              <w:ind w:left="426"/>
              <w:jc w:val="both"/>
              <w:rPr>
                <w:sz w:val="20"/>
                <w:szCs w:val="20"/>
                <w:lang w:val="en-GB"/>
              </w:rPr>
            </w:pPr>
            <w:r w:rsidRPr="00E503B1">
              <w:rPr>
                <w:sz w:val="20"/>
                <w:szCs w:val="20"/>
                <w:lang w:val="en-GB"/>
              </w:rPr>
              <w:t>Somalia’s Education-CP Response Framework included in donor proposals (GPE, ECW, ECHO, UNICEF) encouraging them to take up the integrated approach, leading to institutionalization. This also supports fundraising on behalf of CP with education donors (</w:t>
            </w:r>
            <w:r w:rsidRPr="00E70904">
              <w:rPr>
                <w:b/>
                <w:bCs/>
                <w:sz w:val="20"/>
                <w:szCs w:val="20"/>
                <w:lang w:val="en-GB"/>
              </w:rPr>
              <w:t>Somalia</w:t>
            </w:r>
            <w:r w:rsidRPr="00E503B1">
              <w:rPr>
                <w:sz w:val="20"/>
                <w:szCs w:val="20"/>
                <w:lang w:val="en-GB"/>
              </w:rPr>
              <w:t>)</w:t>
            </w:r>
          </w:p>
          <w:p w14:paraId="192B47D8" w14:textId="66335171" w:rsidR="00B0524B" w:rsidRPr="00E503B1" w:rsidRDefault="00B0524B" w:rsidP="000F1D4C">
            <w:pPr>
              <w:pStyle w:val="ListParagraph"/>
              <w:numPr>
                <w:ilvl w:val="0"/>
                <w:numId w:val="13"/>
              </w:numPr>
              <w:spacing w:before="80" w:after="80"/>
              <w:ind w:left="426"/>
              <w:jc w:val="both"/>
              <w:rPr>
                <w:sz w:val="20"/>
                <w:szCs w:val="20"/>
                <w:lang w:val="en-GB"/>
              </w:rPr>
            </w:pPr>
            <w:r w:rsidRPr="00E503B1">
              <w:rPr>
                <w:sz w:val="20"/>
                <w:szCs w:val="20"/>
                <w:lang w:val="en-GB"/>
              </w:rPr>
              <w:t>Joint PCAs are a requirement from UNICEF (</w:t>
            </w:r>
            <w:r w:rsidRPr="00E70904">
              <w:rPr>
                <w:b/>
                <w:bCs/>
                <w:sz w:val="20"/>
                <w:szCs w:val="20"/>
                <w:lang w:val="en-GB"/>
              </w:rPr>
              <w:t>Niger</w:t>
            </w:r>
            <w:r w:rsidRPr="00E503B1">
              <w:rPr>
                <w:sz w:val="20"/>
                <w:szCs w:val="20"/>
                <w:lang w:val="en-GB"/>
              </w:rPr>
              <w:t>)</w:t>
            </w:r>
          </w:p>
        </w:tc>
        <w:tc>
          <w:tcPr>
            <w:tcW w:w="1418" w:type="dxa"/>
          </w:tcPr>
          <w:p w14:paraId="46D22AA5" w14:textId="00172CCD" w:rsidR="00B0524B" w:rsidRPr="00E70904" w:rsidRDefault="00B0524B" w:rsidP="00E70904">
            <w:pPr>
              <w:spacing w:before="80" w:after="80"/>
              <w:ind w:left="66"/>
              <w:jc w:val="both"/>
              <w:rPr>
                <w:b/>
                <w:sz w:val="20"/>
                <w:szCs w:val="20"/>
                <w:lang w:val="en-GB"/>
              </w:rPr>
            </w:pPr>
            <w:r w:rsidRPr="00E70904">
              <w:rPr>
                <w:sz w:val="20"/>
                <w:szCs w:val="20"/>
                <w:lang w:val="en-GB"/>
              </w:rPr>
              <w:t>Costing framework was standardi</w:t>
            </w:r>
            <w:r w:rsidR="00A54400">
              <w:rPr>
                <w:sz w:val="20"/>
                <w:szCs w:val="20"/>
                <w:lang w:val="en-GB"/>
              </w:rPr>
              <w:t>s</w:t>
            </w:r>
            <w:r w:rsidRPr="00E70904">
              <w:rPr>
                <w:sz w:val="20"/>
                <w:szCs w:val="20"/>
                <w:lang w:val="en-GB"/>
              </w:rPr>
              <w:t xml:space="preserve">ed for cross-sectoral items, using the new costing methodology </w:t>
            </w:r>
            <w:r w:rsidRPr="00E70904">
              <w:rPr>
                <w:b/>
                <w:sz w:val="20"/>
                <w:szCs w:val="20"/>
                <w:lang w:val="en-GB"/>
              </w:rPr>
              <w:t>(Afghanistan)</w:t>
            </w:r>
          </w:p>
          <w:p w14:paraId="3E5BCEDA" w14:textId="77777777" w:rsidR="00E70904" w:rsidRDefault="00E70904" w:rsidP="00E70904">
            <w:pPr>
              <w:spacing w:before="80" w:after="80"/>
              <w:jc w:val="both"/>
              <w:rPr>
                <w:sz w:val="20"/>
                <w:szCs w:val="20"/>
                <w:lang w:val="en-GB"/>
              </w:rPr>
            </w:pPr>
          </w:p>
          <w:p w14:paraId="07BAC7FF" w14:textId="05704034" w:rsidR="00CE3CA7" w:rsidRPr="00E70904" w:rsidRDefault="00CE3CA7" w:rsidP="00E70904">
            <w:pPr>
              <w:spacing w:before="80" w:after="80"/>
              <w:jc w:val="both"/>
              <w:rPr>
                <w:sz w:val="20"/>
                <w:szCs w:val="20"/>
                <w:lang w:val="en-GB"/>
              </w:rPr>
            </w:pPr>
            <w:r w:rsidRPr="00E70904">
              <w:rPr>
                <w:sz w:val="20"/>
                <w:szCs w:val="20"/>
                <w:lang w:val="en-GB"/>
              </w:rPr>
              <w:t>Example</w:t>
            </w:r>
            <w:r w:rsidRPr="00E70904">
              <w:rPr>
                <w:rFonts w:ascii="Calibri" w:eastAsia="Calibri" w:hAnsi="Calibri" w:cs="Times New Roman"/>
                <w:sz w:val="20"/>
                <w:szCs w:val="20"/>
                <w:lang w:val="en-GB"/>
              </w:rPr>
              <w:t xml:space="preserve"> of joint MHPSS costing (</w:t>
            </w:r>
            <w:r w:rsidRPr="00E70904">
              <w:rPr>
                <w:rFonts w:ascii="Calibri" w:eastAsia="Calibri" w:hAnsi="Calibri" w:cs="Times New Roman"/>
                <w:b/>
                <w:sz w:val="20"/>
                <w:szCs w:val="20"/>
                <w:lang w:val="en-GB"/>
              </w:rPr>
              <w:t>Iraq)</w:t>
            </w:r>
          </w:p>
          <w:p w14:paraId="7DFA4C52" w14:textId="7608B344" w:rsidR="00CE3CA7" w:rsidRPr="00E503B1" w:rsidRDefault="00CE3CA7" w:rsidP="006F54C9">
            <w:pPr>
              <w:spacing w:before="80" w:after="80"/>
              <w:jc w:val="both"/>
              <w:rPr>
                <w:b/>
                <w:sz w:val="20"/>
                <w:szCs w:val="20"/>
                <w:lang w:val="en-GB"/>
              </w:rPr>
            </w:pPr>
          </w:p>
        </w:tc>
        <w:tc>
          <w:tcPr>
            <w:tcW w:w="9355" w:type="dxa"/>
          </w:tcPr>
          <w:p w14:paraId="338229D3" w14:textId="46435ADC" w:rsidR="000F1D4C" w:rsidRPr="00E503B1" w:rsidRDefault="000F1D4C" w:rsidP="00E70904">
            <w:pPr>
              <w:spacing w:after="80"/>
              <w:rPr>
                <w:sz w:val="20"/>
                <w:szCs w:val="20"/>
                <w:lang w:val="en-GB"/>
              </w:rPr>
            </w:pPr>
            <w:r w:rsidRPr="00E503B1">
              <w:rPr>
                <w:sz w:val="20"/>
                <w:szCs w:val="20"/>
                <w:u w:val="single"/>
                <w:lang w:val="en-GB"/>
              </w:rPr>
              <w:t>Humanitarian Pooled Funds</w:t>
            </w:r>
          </w:p>
          <w:p w14:paraId="238B4AE9" w14:textId="535F9F9C" w:rsidR="000F1D4C" w:rsidRPr="00E503B1" w:rsidRDefault="000F1D4C" w:rsidP="000F1D4C">
            <w:pPr>
              <w:pStyle w:val="ListParagraph"/>
              <w:numPr>
                <w:ilvl w:val="0"/>
                <w:numId w:val="13"/>
              </w:numPr>
              <w:spacing w:before="80" w:after="80"/>
              <w:ind w:left="426"/>
              <w:jc w:val="both"/>
              <w:rPr>
                <w:sz w:val="20"/>
                <w:szCs w:val="20"/>
                <w:lang w:val="en-GB"/>
              </w:rPr>
            </w:pPr>
            <w:r w:rsidRPr="00E503B1">
              <w:rPr>
                <w:sz w:val="20"/>
                <w:szCs w:val="20"/>
                <w:lang w:val="en-GB"/>
              </w:rPr>
              <w:t>Education and CP successfully advocated to the HC for a joint HPF allocation</w:t>
            </w:r>
            <w:r w:rsidR="00CE3CA7" w:rsidRPr="00E503B1">
              <w:rPr>
                <w:sz w:val="20"/>
                <w:szCs w:val="20"/>
                <w:lang w:val="en-GB"/>
              </w:rPr>
              <w:t xml:space="preserve">. Sectors jointly develop a joint </w:t>
            </w:r>
            <w:hyperlink r:id="rId11" w:history="1">
              <w:r w:rsidR="00CE3CA7" w:rsidRPr="00E503B1">
                <w:rPr>
                  <w:rStyle w:val="Hyperlink"/>
                  <w:rFonts w:ascii="Calibri" w:eastAsia="Calibri" w:hAnsi="Calibri" w:cs="Times New Roman"/>
                  <w:sz w:val="20"/>
                  <w:szCs w:val="20"/>
                  <w:lang w:val="en-GB"/>
                </w:rPr>
                <w:t>HF Alloc</w:t>
              </w:r>
              <w:r w:rsidR="00CE3CA7" w:rsidRPr="00E503B1">
                <w:rPr>
                  <w:rStyle w:val="Hyperlink"/>
                  <w:rFonts w:ascii="Calibri" w:eastAsia="Calibri" w:hAnsi="Calibri" w:cs="Times New Roman"/>
                  <w:sz w:val="20"/>
                  <w:szCs w:val="20"/>
                  <w:lang w:val="en-GB"/>
                </w:rPr>
                <w:t>a</w:t>
              </w:r>
              <w:r w:rsidR="00CE3CA7" w:rsidRPr="00E503B1">
                <w:rPr>
                  <w:rStyle w:val="Hyperlink"/>
                  <w:rFonts w:ascii="Calibri" w:eastAsia="Calibri" w:hAnsi="Calibri" w:cs="Times New Roman"/>
                  <w:sz w:val="20"/>
                  <w:szCs w:val="20"/>
                  <w:lang w:val="en-GB"/>
                </w:rPr>
                <w:t>tion Strategy</w:t>
              </w:r>
            </w:hyperlink>
            <w:r w:rsidRPr="00E503B1">
              <w:rPr>
                <w:sz w:val="20"/>
                <w:szCs w:val="20"/>
                <w:lang w:val="en-GB"/>
              </w:rPr>
              <w:t xml:space="preserve">; the HC gives the envelope per sector, then Education and CP coordinators total the allocated funds to disburse. Partners are required to submit integrated proposals for HPF funding (a mandatory requirement for projects). Funding is then allocated to the successful integrated projects based on quality of the project submission, with the % funding per sector roughly balancing with what the HC originally allocated per sector. Project vetting was done separately by Education and CP coordinators, but feedback to partners was given jointly </w:t>
            </w:r>
            <w:r w:rsidRPr="00E503B1">
              <w:rPr>
                <w:b/>
                <w:sz w:val="20"/>
                <w:szCs w:val="20"/>
                <w:lang w:val="en-GB"/>
              </w:rPr>
              <w:t>(oPt).</w:t>
            </w:r>
          </w:p>
          <w:p w14:paraId="31C59C85" w14:textId="77777777" w:rsidR="000F1D4C" w:rsidRPr="00E503B1" w:rsidRDefault="000F1D4C" w:rsidP="000F1D4C">
            <w:pPr>
              <w:pStyle w:val="ListParagraph"/>
              <w:numPr>
                <w:ilvl w:val="0"/>
                <w:numId w:val="13"/>
              </w:numPr>
              <w:spacing w:before="80" w:after="80"/>
              <w:ind w:left="426"/>
              <w:jc w:val="both"/>
              <w:rPr>
                <w:sz w:val="20"/>
                <w:szCs w:val="20"/>
                <w:lang w:val="en-GB"/>
              </w:rPr>
            </w:pPr>
            <w:r w:rsidRPr="00E503B1">
              <w:rPr>
                <w:sz w:val="20"/>
                <w:szCs w:val="20"/>
                <w:lang w:val="en-GB"/>
              </w:rPr>
              <w:t>Education proposals to Somalia HF are required to include activities from the CP-Education Response Framework (mandatory integration). Partners can select indicators for either education or CP (they are linked in the system) – coordinators do not dictate strongly on the CP/Ed division, leaving it to the strengths of each partner. Proposals for Somalia HF are reviewed together by both sectors (</w:t>
            </w:r>
            <w:r w:rsidRPr="00E503B1">
              <w:rPr>
                <w:b/>
                <w:bCs/>
                <w:sz w:val="20"/>
                <w:szCs w:val="20"/>
                <w:lang w:val="en-GB"/>
              </w:rPr>
              <w:t>Somalia</w:t>
            </w:r>
            <w:r w:rsidRPr="00E503B1">
              <w:rPr>
                <w:sz w:val="20"/>
                <w:szCs w:val="20"/>
                <w:lang w:val="en-GB"/>
              </w:rPr>
              <w:t>).</w:t>
            </w:r>
          </w:p>
          <w:p w14:paraId="051265EC" w14:textId="77777777" w:rsidR="000F1D4C" w:rsidRPr="00E503B1" w:rsidRDefault="000F1D4C" w:rsidP="000F1D4C">
            <w:pPr>
              <w:pStyle w:val="ListParagraph"/>
              <w:numPr>
                <w:ilvl w:val="0"/>
                <w:numId w:val="13"/>
              </w:numPr>
              <w:spacing w:before="80" w:after="80"/>
              <w:ind w:left="426"/>
              <w:jc w:val="both"/>
              <w:rPr>
                <w:sz w:val="20"/>
                <w:szCs w:val="20"/>
                <w:lang w:val="en-GB"/>
              </w:rPr>
            </w:pPr>
            <w:r w:rsidRPr="00E503B1">
              <w:rPr>
                <w:sz w:val="20"/>
                <w:szCs w:val="20"/>
                <w:lang w:val="en-GB"/>
              </w:rPr>
              <w:t>Based on the Mosul guidelines for integrated spaces, Iraq HF accepted joint project sheets. The IHF meeting was done jointly for CP and Education and partners were advised which sector to appeal to for inter-sector activities, and how joint project sheets would be reviewed by the sector with the greatest % budget (</w:t>
            </w:r>
            <w:r w:rsidRPr="00E503B1">
              <w:rPr>
                <w:b/>
                <w:bCs/>
                <w:sz w:val="20"/>
                <w:szCs w:val="20"/>
                <w:lang w:val="en-GB"/>
              </w:rPr>
              <w:t>Iraq</w:t>
            </w:r>
            <w:r w:rsidRPr="00E503B1">
              <w:rPr>
                <w:sz w:val="20"/>
                <w:szCs w:val="20"/>
                <w:lang w:val="en-GB"/>
              </w:rPr>
              <w:t xml:space="preserve">). </w:t>
            </w:r>
          </w:p>
          <w:p w14:paraId="54CCC381" w14:textId="77777777" w:rsidR="000F1D4C" w:rsidRPr="00E503B1" w:rsidRDefault="000F1D4C" w:rsidP="000F1D4C">
            <w:pPr>
              <w:pStyle w:val="ListParagraph"/>
              <w:numPr>
                <w:ilvl w:val="0"/>
                <w:numId w:val="13"/>
              </w:numPr>
              <w:spacing w:before="80" w:after="80"/>
              <w:ind w:left="426"/>
              <w:jc w:val="both"/>
              <w:rPr>
                <w:sz w:val="20"/>
                <w:szCs w:val="20"/>
                <w:lang w:val="en-GB"/>
              </w:rPr>
            </w:pPr>
            <w:r w:rsidRPr="00E503B1">
              <w:rPr>
                <w:sz w:val="20"/>
                <w:szCs w:val="20"/>
                <w:lang w:val="en-GB"/>
              </w:rPr>
              <w:t>The Afghanistan Education Cluster required education projects submitted to 2019 Afghanistan HF to include minimum 10% budget on CP activities. GMS reviews are done with both coordinators (</w:t>
            </w:r>
            <w:r w:rsidRPr="00E503B1">
              <w:rPr>
                <w:b/>
                <w:bCs/>
                <w:sz w:val="20"/>
                <w:szCs w:val="20"/>
                <w:lang w:val="en-GB"/>
              </w:rPr>
              <w:t>Afghanistan</w:t>
            </w:r>
            <w:r w:rsidRPr="00E503B1">
              <w:rPr>
                <w:sz w:val="20"/>
                <w:szCs w:val="20"/>
                <w:lang w:val="en-GB"/>
              </w:rPr>
              <w:t>).</w:t>
            </w:r>
          </w:p>
          <w:p w14:paraId="21818BB3" w14:textId="7BE09880" w:rsidR="00B0524B" w:rsidRPr="00E503B1" w:rsidRDefault="000F1D4C" w:rsidP="000F1D4C">
            <w:pPr>
              <w:pStyle w:val="ListParagraph"/>
              <w:numPr>
                <w:ilvl w:val="0"/>
                <w:numId w:val="13"/>
              </w:numPr>
              <w:spacing w:before="80" w:after="80"/>
              <w:ind w:left="426"/>
              <w:jc w:val="both"/>
              <w:rPr>
                <w:sz w:val="20"/>
                <w:szCs w:val="20"/>
                <w:lang w:val="en-GB"/>
              </w:rPr>
            </w:pPr>
            <w:r w:rsidRPr="00E503B1">
              <w:rPr>
                <w:sz w:val="20"/>
                <w:szCs w:val="20"/>
                <w:lang w:val="en-GB"/>
              </w:rPr>
              <w:t>Where there are inter-sector/ complementary activities, partners decide which sector to include them in, and both coordinators review the whole project when joint activities are included</w:t>
            </w:r>
            <w:r w:rsidRPr="00E503B1">
              <w:rPr>
                <w:rFonts w:ascii="Calibri" w:eastAsia="Times New Roman" w:hAnsi="Calibri" w:cs="Times New Roman"/>
                <w:color w:val="000000"/>
                <w:sz w:val="20"/>
                <w:szCs w:val="20"/>
                <w:lang w:val="en-GB"/>
              </w:rPr>
              <w:t xml:space="preserve"> (</w:t>
            </w:r>
            <w:r w:rsidRPr="00E503B1">
              <w:rPr>
                <w:rFonts w:ascii="Calibri" w:eastAsia="Times New Roman" w:hAnsi="Calibri" w:cs="Times New Roman"/>
                <w:b/>
                <w:color w:val="000000"/>
                <w:sz w:val="20"/>
                <w:szCs w:val="20"/>
                <w:lang w:val="en-GB"/>
              </w:rPr>
              <w:t>Myanmar</w:t>
            </w:r>
            <w:r w:rsidRPr="00E503B1">
              <w:rPr>
                <w:rFonts w:ascii="Calibri" w:eastAsia="Times New Roman" w:hAnsi="Calibri" w:cs="Times New Roman"/>
                <w:color w:val="000000"/>
                <w:sz w:val="20"/>
                <w:szCs w:val="20"/>
                <w:lang w:val="en-GB"/>
              </w:rPr>
              <w:t>)</w:t>
            </w:r>
            <w:r w:rsidR="00E70904">
              <w:rPr>
                <w:rFonts w:ascii="Calibri" w:eastAsia="Times New Roman" w:hAnsi="Calibri" w:cs="Times New Roman"/>
                <w:color w:val="000000"/>
                <w:sz w:val="20"/>
                <w:szCs w:val="20"/>
                <w:lang w:val="en-GB"/>
              </w:rPr>
              <w:t>.</w:t>
            </w:r>
          </w:p>
          <w:p w14:paraId="72F1A9B9" w14:textId="45EBC7CA" w:rsidR="00B0524B" w:rsidRPr="00E503B1" w:rsidRDefault="00B0524B" w:rsidP="00B0524B">
            <w:pPr>
              <w:spacing w:before="80" w:after="80"/>
              <w:rPr>
                <w:sz w:val="20"/>
                <w:szCs w:val="20"/>
                <w:u w:val="single"/>
                <w:lang w:val="en-GB"/>
              </w:rPr>
            </w:pPr>
            <w:r w:rsidRPr="00E503B1">
              <w:rPr>
                <w:sz w:val="20"/>
                <w:szCs w:val="20"/>
                <w:u w:val="single"/>
                <w:lang w:val="en-GB"/>
              </w:rPr>
              <w:t>Cross-sectoral allocation of funds</w:t>
            </w:r>
          </w:p>
          <w:p w14:paraId="01D915B1" w14:textId="6F21B474" w:rsidR="00B0524B" w:rsidRPr="00E503B1" w:rsidRDefault="00B0524B" w:rsidP="000F1D4C">
            <w:pPr>
              <w:pStyle w:val="ListParagraph"/>
              <w:numPr>
                <w:ilvl w:val="0"/>
                <w:numId w:val="13"/>
              </w:numPr>
              <w:spacing w:before="80" w:after="80"/>
              <w:ind w:left="426"/>
              <w:jc w:val="both"/>
              <w:rPr>
                <w:b/>
                <w:sz w:val="20"/>
                <w:szCs w:val="20"/>
                <w:lang w:val="en-GB"/>
              </w:rPr>
            </w:pPr>
            <w:r w:rsidRPr="00E503B1">
              <w:rPr>
                <w:sz w:val="20"/>
                <w:szCs w:val="20"/>
                <w:lang w:val="en-GB"/>
              </w:rPr>
              <w:t>Cross</w:t>
            </w:r>
            <w:r w:rsidRPr="00E503B1">
              <w:rPr>
                <w:rFonts w:ascii="Calibri" w:eastAsia="Times New Roman" w:hAnsi="Calibri" w:cs="Times New Roman"/>
                <w:color w:val="000000"/>
                <w:sz w:val="20"/>
                <w:szCs w:val="20"/>
                <w:lang w:val="en-GB"/>
              </w:rPr>
              <w:t>-sector mechanisms established where funding was predominantly available through one sector, and delivery planned through the other to maximi</w:t>
            </w:r>
            <w:r w:rsidR="00A54400">
              <w:rPr>
                <w:rFonts w:ascii="Calibri" w:eastAsia="Times New Roman" w:hAnsi="Calibri" w:cs="Times New Roman"/>
                <w:color w:val="000000"/>
                <w:sz w:val="20"/>
                <w:szCs w:val="20"/>
                <w:lang w:val="en-GB"/>
              </w:rPr>
              <w:t>s</w:t>
            </w:r>
            <w:r w:rsidRPr="00E503B1">
              <w:rPr>
                <w:rFonts w:ascii="Calibri" w:eastAsia="Times New Roman" w:hAnsi="Calibri" w:cs="Times New Roman"/>
                <w:color w:val="000000"/>
                <w:sz w:val="20"/>
                <w:szCs w:val="20"/>
                <w:lang w:val="en-GB"/>
              </w:rPr>
              <w:t>e impact on children (</w:t>
            </w:r>
            <w:r w:rsidRPr="00E503B1">
              <w:rPr>
                <w:rFonts w:ascii="Calibri" w:eastAsia="Times New Roman" w:hAnsi="Calibri" w:cs="Times New Roman"/>
                <w:b/>
                <w:color w:val="000000"/>
                <w:sz w:val="20"/>
                <w:szCs w:val="20"/>
                <w:lang w:val="en-GB"/>
              </w:rPr>
              <w:t>South Sudan</w:t>
            </w:r>
            <w:r w:rsidRPr="00E503B1">
              <w:rPr>
                <w:rFonts w:ascii="Calibri" w:eastAsia="Times New Roman" w:hAnsi="Calibri" w:cs="Times New Roman"/>
                <w:color w:val="000000"/>
                <w:sz w:val="20"/>
                <w:szCs w:val="20"/>
                <w:lang w:val="en-GB"/>
              </w:rPr>
              <w:t xml:space="preserve"> – PSS funded through CP, delivered through teachers)</w:t>
            </w:r>
          </w:p>
        </w:tc>
      </w:tr>
      <w:tr w:rsidR="00CE6D67" w:rsidRPr="00E503B1" w14:paraId="4706A705" w14:textId="77777777" w:rsidTr="00D2627E">
        <w:trPr>
          <w:trHeight w:val="278"/>
        </w:trPr>
        <w:tc>
          <w:tcPr>
            <w:tcW w:w="14601" w:type="dxa"/>
            <w:gridSpan w:val="3"/>
            <w:shd w:val="clear" w:color="auto" w:fill="87BE28"/>
            <w:vAlign w:val="center"/>
          </w:tcPr>
          <w:p w14:paraId="1917F45F" w14:textId="3BEA1980" w:rsidR="00CE6D67" w:rsidRPr="00CE6D67" w:rsidRDefault="00CE6D67" w:rsidP="00E70904">
            <w:pPr>
              <w:jc w:val="center"/>
              <w:rPr>
                <w:b/>
                <w:bCs/>
                <w:color w:val="FFFFFF" w:themeColor="background1"/>
                <w:sz w:val="20"/>
                <w:szCs w:val="20"/>
                <w:lang w:val="en-GB"/>
              </w:rPr>
            </w:pPr>
            <w:r>
              <w:rPr>
                <w:b/>
                <w:bCs/>
                <w:color w:val="FFFFFF" w:themeColor="background1"/>
                <w:sz w:val="20"/>
                <w:szCs w:val="20"/>
                <w:lang w:val="en-GB"/>
              </w:rPr>
              <w:t>GLOBAL LEVEL RESOURCES</w:t>
            </w:r>
          </w:p>
        </w:tc>
      </w:tr>
      <w:tr w:rsidR="00CE3CA7" w:rsidRPr="00E503B1" w14:paraId="75C911F7" w14:textId="77777777" w:rsidTr="00D2627E">
        <w:tc>
          <w:tcPr>
            <w:tcW w:w="3828" w:type="dxa"/>
          </w:tcPr>
          <w:p w14:paraId="66522090" w14:textId="25F71328" w:rsidR="00E70904" w:rsidRDefault="00E70904" w:rsidP="001C52DE">
            <w:pPr>
              <w:pStyle w:val="ListParagraph"/>
              <w:numPr>
                <w:ilvl w:val="0"/>
                <w:numId w:val="8"/>
              </w:numPr>
              <w:spacing w:before="40"/>
              <w:ind w:left="312" w:hanging="284"/>
              <w:rPr>
                <w:rFonts w:eastAsia="Times New Roman"/>
                <w:sz w:val="20"/>
                <w:szCs w:val="20"/>
                <w:lang w:val="en-GB"/>
              </w:rPr>
            </w:pPr>
            <w:r>
              <w:rPr>
                <w:rFonts w:eastAsia="Times New Roman"/>
                <w:sz w:val="20"/>
                <w:szCs w:val="20"/>
                <w:lang w:val="en-GB"/>
              </w:rPr>
              <w:t>Example of top-line CP-EiE donor analysis (</w:t>
            </w:r>
            <w:hyperlink r:id="rId12" w:history="1">
              <w:r w:rsidRPr="00E70904">
                <w:rPr>
                  <w:rStyle w:val="Hyperlink"/>
                  <w:rFonts w:eastAsia="Times New Roman"/>
                  <w:sz w:val="20"/>
                  <w:szCs w:val="20"/>
                  <w:lang w:val="en-GB"/>
                </w:rPr>
                <w:t>Annex 9</w:t>
              </w:r>
            </w:hyperlink>
            <w:r>
              <w:rPr>
                <w:rFonts w:eastAsia="Times New Roman"/>
                <w:sz w:val="20"/>
                <w:szCs w:val="20"/>
                <w:lang w:val="en-GB"/>
              </w:rPr>
              <w:t>)</w:t>
            </w:r>
          </w:p>
          <w:p w14:paraId="4DEED615" w14:textId="52677721" w:rsidR="001C52DE" w:rsidRPr="00E503B1" w:rsidRDefault="001C52DE" w:rsidP="001C52DE">
            <w:pPr>
              <w:pStyle w:val="ListParagraph"/>
              <w:numPr>
                <w:ilvl w:val="0"/>
                <w:numId w:val="8"/>
              </w:numPr>
              <w:spacing w:before="40"/>
              <w:ind w:left="312" w:hanging="284"/>
              <w:rPr>
                <w:rFonts w:eastAsia="Times New Roman"/>
                <w:sz w:val="20"/>
                <w:szCs w:val="20"/>
                <w:lang w:val="en-GB"/>
              </w:rPr>
            </w:pPr>
            <w:r w:rsidRPr="00E503B1">
              <w:rPr>
                <w:rFonts w:eastAsia="Times New Roman"/>
                <w:sz w:val="20"/>
                <w:szCs w:val="20"/>
                <w:lang w:val="en-GB"/>
              </w:rPr>
              <w:t>For gender considerations in resource mobilisation, see </w:t>
            </w:r>
            <w:hyperlink r:id="rId13" w:history="1">
              <w:r w:rsidRPr="00E503B1">
                <w:rPr>
                  <w:rStyle w:val="Hyperlink"/>
                  <w:rFonts w:eastAsia="Times New Roman"/>
                  <w:sz w:val="20"/>
                  <w:szCs w:val="20"/>
                  <w:lang w:val="en-GB"/>
                </w:rPr>
                <w:t>INEE Guidance Note on Gender</w:t>
              </w:r>
            </w:hyperlink>
            <w:r w:rsidRPr="00E503B1">
              <w:rPr>
                <w:rFonts w:eastAsia="Times New Roman"/>
                <w:sz w:val="20"/>
                <w:szCs w:val="20"/>
                <w:lang w:val="en-GB"/>
              </w:rPr>
              <w:t xml:space="preserve"> (2019) </w:t>
            </w:r>
            <w:r w:rsidR="00137ACE">
              <w:rPr>
                <w:rFonts w:eastAsia="Times New Roman"/>
                <w:sz w:val="20"/>
                <w:szCs w:val="20"/>
                <w:lang w:val="en-GB"/>
              </w:rPr>
              <w:t>for s</w:t>
            </w:r>
            <w:r w:rsidRPr="00E503B1">
              <w:rPr>
                <w:rFonts w:eastAsia="Times New Roman"/>
                <w:sz w:val="20"/>
                <w:szCs w:val="20"/>
                <w:lang w:val="en-GB"/>
              </w:rPr>
              <w:t>trategies for gender-respons</w:t>
            </w:r>
            <w:r w:rsidR="00137ACE">
              <w:rPr>
                <w:rFonts w:eastAsia="Times New Roman"/>
                <w:sz w:val="20"/>
                <w:szCs w:val="20"/>
                <w:lang w:val="en-GB"/>
              </w:rPr>
              <w:t>ive</w:t>
            </w:r>
            <w:r w:rsidRPr="00E503B1">
              <w:rPr>
                <w:rFonts w:eastAsia="Times New Roman"/>
                <w:sz w:val="20"/>
                <w:szCs w:val="20"/>
                <w:lang w:val="en-GB"/>
              </w:rPr>
              <w:t xml:space="preserve"> </w:t>
            </w:r>
            <w:r w:rsidR="00137ACE">
              <w:rPr>
                <w:rFonts w:eastAsia="Times New Roman"/>
                <w:sz w:val="20"/>
                <w:szCs w:val="20"/>
                <w:lang w:val="en-GB"/>
              </w:rPr>
              <w:t>EiE f</w:t>
            </w:r>
            <w:r w:rsidRPr="00E503B1">
              <w:rPr>
                <w:rFonts w:eastAsia="Times New Roman"/>
                <w:sz w:val="20"/>
                <w:szCs w:val="20"/>
                <w:lang w:val="en-GB"/>
              </w:rPr>
              <w:t>inancing p. 97-98</w:t>
            </w:r>
          </w:p>
        </w:tc>
        <w:tc>
          <w:tcPr>
            <w:tcW w:w="1418" w:type="dxa"/>
          </w:tcPr>
          <w:p w14:paraId="5E97C1AA" w14:textId="116828CF" w:rsidR="00CE3CA7" w:rsidRPr="00E70904" w:rsidRDefault="00CE3CA7" w:rsidP="00E70904">
            <w:pPr>
              <w:spacing w:before="80" w:after="80"/>
              <w:jc w:val="both"/>
              <w:rPr>
                <w:sz w:val="20"/>
                <w:szCs w:val="20"/>
                <w:lang w:val="en-GB"/>
              </w:rPr>
            </w:pPr>
          </w:p>
        </w:tc>
        <w:tc>
          <w:tcPr>
            <w:tcW w:w="9355" w:type="dxa"/>
          </w:tcPr>
          <w:p w14:paraId="7EED6F05" w14:textId="4E304E1B" w:rsidR="00CE3CA7" w:rsidRPr="00E503B1" w:rsidRDefault="00E70904" w:rsidP="00E70904">
            <w:pPr>
              <w:pStyle w:val="ListParagraph"/>
              <w:numPr>
                <w:ilvl w:val="0"/>
                <w:numId w:val="8"/>
              </w:numPr>
              <w:spacing w:before="40"/>
              <w:ind w:left="312" w:hanging="284"/>
              <w:rPr>
                <w:sz w:val="20"/>
                <w:szCs w:val="20"/>
                <w:u w:val="single"/>
                <w:lang w:val="en-GB"/>
              </w:rPr>
            </w:pPr>
            <w:r>
              <w:rPr>
                <w:sz w:val="20"/>
                <w:szCs w:val="20"/>
                <w:lang w:val="en-GB"/>
              </w:rPr>
              <w:t>Considerations for vetting joint projects (</w:t>
            </w:r>
            <w:hyperlink r:id="rId14" w:history="1">
              <w:r w:rsidRPr="00E70904">
                <w:rPr>
                  <w:rStyle w:val="Hyperlink"/>
                  <w:sz w:val="20"/>
                  <w:szCs w:val="20"/>
                  <w:lang w:val="en-GB"/>
                </w:rPr>
                <w:t>Annex 10</w:t>
              </w:r>
            </w:hyperlink>
            <w:r>
              <w:rPr>
                <w:sz w:val="20"/>
                <w:szCs w:val="20"/>
                <w:lang w:val="en-GB"/>
              </w:rPr>
              <w:t>)</w:t>
            </w:r>
          </w:p>
        </w:tc>
      </w:tr>
    </w:tbl>
    <w:p w14:paraId="58FA40EC" w14:textId="77777777" w:rsidR="00CE3CA7" w:rsidRPr="00E503B1" w:rsidRDefault="00CE3CA7" w:rsidP="00CD5E03">
      <w:pPr>
        <w:rPr>
          <w:b/>
          <w:lang w:val="en-GB"/>
        </w:rPr>
      </w:pPr>
    </w:p>
    <w:sectPr w:rsidR="00CE3CA7" w:rsidRPr="00E503B1" w:rsidSect="00D2627E">
      <w:headerReference w:type="default" r:id="rId15"/>
      <w:pgSz w:w="15840" w:h="12240" w:orient="landscape"/>
      <w:pgMar w:top="1135" w:right="1440" w:bottom="19" w:left="1440" w:header="4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813159" w14:textId="77777777" w:rsidR="00B85341" w:rsidRDefault="00B85341" w:rsidP="004D291C">
      <w:pPr>
        <w:spacing w:after="0" w:line="240" w:lineRule="auto"/>
      </w:pPr>
      <w:r>
        <w:separator/>
      </w:r>
    </w:p>
  </w:endnote>
  <w:endnote w:type="continuationSeparator" w:id="0">
    <w:p w14:paraId="5C0638AD" w14:textId="77777777" w:rsidR="00B85341" w:rsidRDefault="00B85341" w:rsidP="004D29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Lucida Grande">
    <w:altName w:val="Segoe UI"/>
    <w:charset w:val="00"/>
    <w:family w:val="auto"/>
    <w:pitch w:val="variable"/>
    <w:sig w:usb0="E1000AEF"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C19811" w14:textId="77777777" w:rsidR="00B85341" w:rsidRDefault="00B85341" w:rsidP="004D291C">
      <w:pPr>
        <w:spacing w:after="0" w:line="240" w:lineRule="auto"/>
      </w:pPr>
      <w:r>
        <w:separator/>
      </w:r>
    </w:p>
  </w:footnote>
  <w:footnote w:type="continuationSeparator" w:id="0">
    <w:p w14:paraId="1B7579FF" w14:textId="77777777" w:rsidR="00B85341" w:rsidRDefault="00B85341" w:rsidP="004D29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8C72A7" w14:textId="34E1608C" w:rsidR="00CD5E03" w:rsidRPr="00D2627E" w:rsidRDefault="00D2627E" w:rsidP="00D2627E">
    <w:pPr>
      <w:jc w:val="center"/>
      <w:rPr>
        <w:color w:val="0563C1" w:themeColor="hyperlink"/>
        <w:sz w:val="28"/>
        <w:szCs w:val="28"/>
        <w:u w:val="single"/>
      </w:rPr>
    </w:pPr>
    <w:r w:rsidRPr="00BB34F7">
      <w:rPr>
        <w:noProof/>
        <w:sz w:val="28"/>
        <w:szCs w:val="28"/>
        <w:u w:val="single"/>
      </w:rPr>
      <w:drawing>
        <wp:anchor distT="0" distB="0" distL="114300" distR="114300" simplePos="0" relativeHeight="251659264" behindDoc="0" locked="0" layoutInCell="1" allowOverlap="1" wp14:anchorId="399BAD79" wp14:editId="245AC6A3">
          <wp:simplePos x="0" y="0"/>
          <wp:positionH relativeFrom="column">
            <wp:posOffset>8126095</wp:posOffset>
          </wp:positionH>
          <wp:positionV relativeFrom="paragraph">
            <wp:posOffset>11430</wp:posOffset>
          </wp:positionV>
          <wp:extent cx="735330" cy="266065"/>
          <wp:effectExtent l="0" t="0" r="7620" b="635"/>
          <wp:wrapNone/>
          <wp:docPr id="45" name="Picture 4"/>
          <wp:cNvGraphicFramePr/>
          <a:graphic xmlns:a="http://schemas.openxmlformats.org/drawingml/2006/main">
            <a:graphicData uri="http://schemas.openxmlformats.org/drawingml/2006/picture">
              <pic:pic xmlns:pic="http://schemas.openxmlformats.org/drawingml/2006/picture">
                <pic:nvPicPr>
                  <pic:cNvPr id="5" name="Picture 4"/>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5330" cy="266065"/>
                  </a:xfrm>
                  <a:prstGeom prst="rect">
                    <a:avLst/>
                  </a:prstGeom>
                  <a:noFill/>
                </pic:spPr>
              </pic:pic>
            </a:graphicData>
          </a:graphic>
          <wp14:sizeRelH relativeFrom="page">
            <wp14:pctWidth>0</wp14:pctWidth>
          </wp14:sizeRelH>
          <wp14:sizeRelV relativeFrom="page">
            <wp14:pctHeight>0</wp14:pctHeight>
          </wp14:sizeRelV>
        </wp:anchor>
      </w:drawing>
    </w:r>
    <w:r w:rsidRPr="00BB34F7">
      <w:rPr>
        <w:noProof/>
        <w:sz w:val="28"/>
        <w:szCs w:val="28"/>
        <w:u w:val="single"/>
      </w:rPr>
      <w:drawing>
        <wp:anchor distT="0" distB="0" distL="114300" distR="114300" simplePos="0" relativeHeight="251660288" behindDoc="0" locked="0" layoutInCell="1" allowOverlap="1" wp14:anchorId="49832039" wp14:editId="46780FB6">
          <wp:simplePos x="0" y="0"/>
          <wp:positionH relativeFrom="column">
            <wp:posOffset>7346315</wp:posOffset>
          </wp:positionH>
          <wp:positionV relativeFrom="paragraph">
            <wp:posOffset>-132715</wp:posOffset>
          </wp:positionV>
          <wp:extent cx="707390" cy="472440"/>
          <wp:effectExtent l="0" t="0" r="0" b="3810"/>
          <wp:wrapNone/>
          <wp:docPr id="4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07390" cy="472440"/>
                  </a:xfrm>
                  <a:prstGeom prst="rect">
                    <a:avLst/>
                  </a:prstGeom>
                </pic:spPr>
              </pic:pic>
            </a:graphicData>
          </a:graphic>
          <wp14:sizeRelH relativeFrom="page">
            <wp14:pctWidth>0</wp14:pctWidth>
          </wp14:sizeRelH>
          <wp14:sizeRelV relativeFrom="page">
            <wp14:pctHeight>0</wp14:pctHeight>
          </wp14:sizeRelV>
        </wp:anchor>
      </w:drawing>
    </w:r>
    <w:r w:rsidRPr="006B74FC">
      <w:rPr>
        <w:sz w:val="28"/>
        <w:szCs w:val="28"/>
        <w:u w:val="single"/>
      </w:rPr>
      <w:t>CP</w:t>
    </w:r>
    <w:r>
      <w:rPr>
        <w:sz w:val="28"/>
        <w:szCs w:val="28"/>
        <w:u w:val="single"/>
      </w:rPr>
      <w:t>-</w:t>
    </w:r>
    <w:r w:rsidRPr="006B74FC">
      <w:rPr>
        <w:sz w:val="28"/>
        <w:szCs w:val="28"/>
        <w:u w:val="single"/>
      </w:rPr>
      <w:t xml:space="preserve">EiE </w:t>
    </w:r>
    <w:r>
      <w:rPr>
        <w:sz w:val="28"/>
        <w:szCs w:val="28"/>
        <w:u w:val="single"/>
      </w:rPr>
      <w:t xml:space="preserve">Collaboration Framework </w:t>
    </w:r>
    <w:hyperlink r:id="rId3" w:history="1">
      <w:r w:rsidRPr="000A13FB">
        <w:rPr>
          <w:rStyle w:val="Hyperlink"/>
          <w:sz w:val="28"/>
          <w:szCs w:val="28"/>
        </w:rPr>
        <w:t>package</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10C9D"/>
    <w:multiLevelType w:val="multilevel"/>
    <w:tmpl w:val="2C52B85A"/>
    <w:lvl w:ilvl="0">
      <w:start w:val="2"/>
      <w:numFmt w:val="decimal"/>
      <w:lvlText w:val="%1."/>
      <w:lvlJc w:val="left"/>
      <w:pPr>
        <w:ind w:left="720" w:hanging="360"/>
      </w:pPr>
      <w:rPr>
        <w:rFonts w:hint="default"/>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018207B6"/>
    <w:multiLevelType w:val="hybridMultilevel"/>
    <w:tmpl w:val="E9B0BA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B86CA9"/>
    <w:multiLevelType w:val="hybridMultilevel"/>
    <w:tmpl w:val="8B4C65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2644C4B"/>
    <w:multiLevelType w:val="hybridMultilevel"/>
    <w:tmpl w:val="1F08D0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03010C"/>
    <w:multiLevelType w:val="hybridMultilevel"/>
    <w:tmpl w:val="B95A4BE4"/>
    <w:lvl w:ilvl="0" w:tplc="F8A0D274">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7F3065F"/>
    <w:multiLevelType w:val="hybridMultilevel"/>
    <w:tmpl w:val="4E8E0D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236E5E"/>
    <w:multiLevelType w:val="hybridMultilevel"/>
    <w:tmpl w:val="CD7001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A71096"/>
    <w:multiLevelType w:val="hybridMultilevel"/>
    <w:tmpl w:val="171271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4980FEF"/>
    <w:multiLevelType w:val="multilevel"/>
    <w:tmpl w:val="C42C7026"/>
    <w:lvl w:ilvl="0">
      <w:start w:val="2"/>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AF16628"/>
    <w:multiLevelType w:val="hybridMultilevel"/>
    <w:tmpl w:val="893A01EC"/>
    <w:lvl w:ilvl="0" w:tplc="B4943340">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64F183B"/>
    <w:multiLevelType w:val="hybridMultilevel"/>
    <w:tmpl w:val="82FC5CCC"/>
    <w:lvl w:ilvl="0" w:tplc="613CD93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043309"/>
    <w:multiLevelType w:val="hybridMultilevel"/>
    <w:tmpl w:val="AF7A7A98"/>
    <w:lvl w:ilvl="0" w:tplc="613CD93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521225F"/>
    <w:multiLevelType w:val="hybridMultilevel"/>
    <w:tmpl w:val="A4C00A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5600E7A"/>
    <w:multiLevelType w:val="hybridMultilevel"/>
    <w:tmpl w:val="1E585CA4"/>
    <w:lvl w:ilvl="0" w:tplc="0409000F">
      <w:start w:val="1"/>
      <w:numFmt w:val="decimal"/>
      <w:lvlText w:val="%1."/>
      <w:lvlJc w:val="left"/>
      <w:pPr>
        <w:ind w:left="720" w:hanging="360"/>
      </w:pPr>
    </w:lvl>
    <w:lvl w:ilvl="1" w:tplc="04090001">
      <w:start w:val="1"/>
      <w:numFmt w:val="bullet"/>
      <w:lvlText w:val=""/>
      <w:lvlJc w:val="left"/>
      <w:pPr>
        <w:ind w:left="720" w:hanging="360"/>
      </w:pPr>
      <w:rPr>
        <w:rFonts w:ascii="Symbol" w:hAnsi="Symbol" w:hint="default"/>
      </w:rPr>
    </w:lvl>
    <w:lvl w:ilvl="2" w:tplc="04090003">
      <w:start w:val="1"/>
      <w:numFmt w:val="bullet"/>
      <w:lvlText w:val="o"/>
      <w:lvlJc w:val="left"/>
      <w:pPr>
        <w:ind w:left="1777" w:hanging="360"/>
      </w:pPr>
      <w:rPr>
        <w:rFonts w:ascii="Courier New" w:hAnsi="Courier New"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6353A4"/>
    <w:multiLevelType w:val="hybridMultilevel"/>
    <w:tmpl w:val="07F6D4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4450953"/>
    <w:multiLevelType w:val="hybridMultilevel"/>
    <w:tmpl w:val="6DC6AD22"/>
    <w:lvl w:ilvl="0" w:tplc="C8A2637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E97065"/>
    <w:multiLevelType w:val="hybridMultilevel"/>
    <w:tmpl w:val="613E06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D773B1C"/>
    <w:multiLevelType w:val="hybridMultilevel"/>
    <w:tmpl w:val="AC7C95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B2A4514"/>
    <w:multiLevelType w:val="hybridMultilevel"/>
    <w:tmpl w:val="A642B4C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9"/>
  </w:num>
  <w:num w:numId="3">
    <w:abstractNumId w:val="3"/>
  </w:num>
  <w:num w:numId="4">
    <w:abstractNumId w:val="18"/>
  </w:num>
  <w:num w:numId="5">
    <w:abstractNumId w:val="8"/>
  </w:num>
  <w:num w:numId="6">
    <w:abstractNumId w:val="15"/>
  </w:num>
  <w:num w:numId="7">
    <w:abstractNumId w:val="11"/>
  </w:num>
  <w:num w:numId="8">
    <w:abstractNumId w:val="2"/>
  </w:num>
  <w:num w:numId="9">
    <w:abstractNumId w:val="14"/>
  </w:num>
  <w:num w:numId="10">
    <w:abstractNumId w:val="16"/>
  </w:num>
  <w:num w:numId="11">
    <w:abstractNumId w:val="5"/>
  </w:num>
  <w:num w:numId="12">
    <w:abstractNumId w:val="1"/>
  </w:num>
  <w:num w:numId="13">
    <w:abstractNumId w:val="17"/>
  </w:num>
  <w:num w:numId="14">
    <w:abstractNumId w:val="10"/>
  </w:num>
  <w:num w:numId="15">
    <w:abstractNumId w:val="13"/>
  </w:num>
  <w:num w:numId="16">
    <w:abstractNumId w:val="4"/>
  </w:num>
  <w:num w:numId="17">
    <w:abstractNumId w:val="12"/>
  </w:num>
  <w:num w:numId="18">
    <w:abstractNumId w:val="0"/>
  </w:num>
  <w:num w:numId="19">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1158"/>
    <w:rsid w:val="00001014"/>
    <w:rsid w:val="000034C1"/>
    <w:rsid w:val="00011D71"/>
    <w:rsid w:val="0001289B"/>
    <w:rsid w:val="00012BFE"/>
    <w:rsid w:val="0001519E"/>
    <w:rsid w:val="00022B17"/>
    <w:rsid w:val="00025716"/>
    <w:rsid w:val="00033951"/>
    <w:rsid w:val="00036301"/>
    <w:rsid w:val="000418ED"/>
    <w:rsid w:val="00041A65"/>
    <w:rsid w:val="00050997"/>
    <w:rsid w:val="00056FDA"/>
    <w:rsid w:val="00061E8A"/>
    <w:rsid w:val="00062C1C"/>
    <w:rsid w:val="0006684F"/>
    <w:rsid w:val="00067196"/>
    <w:rsid w:val="000673F8"/>
    <w:rsid w:val="00082011"/>
    <w:rsid w:val="00087B42"/>
    <w:rsid w:val="0009006D"/>
    <w:rsid w:val="000A1FD1"/>
    <w:rsid w:val="000A5B51"/>
    <w:rsid w:val="000A7EA9"/>
    <w:rsid w:val="000B161C"/>
    <w:rsid w:val="000B47A3"/>
    <w:rsid w:val="000C681F"/>
    <w:rsid w:val="000C7076"/>
    <w:rsid w:val="000D18AF"/>
    <w:rsid w:val="000D3CB3"/>
    <w:rsid w:val="000D459D"/>
    <w:rsid w:val="000D677B"/>
    <w:rsid w:val="000D7537"/>
    <w:rsid w:val="000E2813"/>
    <w:rsid w:val="000E73B2"/>
    <w:rsid w:val="000F0513"/>
    <w:rsid w:val="000F1BD0"/>
    <w:rsid w:val="000F1D4C"/>
    <w:rsid w:val="000F7693"/>
    <w:rsid w:val="00102D37"/>
    <w:rsid w:val="00106158"/>
    <w:rsid w:val="001116BE"/>
    <w:rsid w:val="00113195"/>
    <w:rsid w:val="00114290"/>
    <w:rsid w:val="00114737"/>
    <w:rsid w:val="00122DF5"/>
    <w:rsid w:val="00132128"/>
    <w:rsid w:val="00135FBE"/>
    <w:rsid w:val="00137ACE"/>
    <w:rsid w:val="00141530"/>
    <w:rsid w:val="0014219F"/>
    <w:rsid w:val="001505EA"/>
    <w:rsid w:val="0016174F"/>
    <w:rsid w:val="00164D0C"/>
    <w:rsid w:val="001671A4"/>
    <w:rsid w:val="001711FB"/>
    <w:rsid w:val="00173975"/>
    <w:rsid w:val="00175636"/>
    <w:rsid w:val="001815CE"/>
    <w:rsid w:val="00184224"/>
    <w:rsid w:val="00186F43"/>
    <w:rsid w:val="00190D2B"/>
    <w:rsid w:val="00192A64"/>
    <w:rsid w:val="001937B0"/>
    <w:rsid w:val="001A3DCB"/>
    <w:rsid w:val="001A79B2"/>
    <w:rsid w:val="001B0597"/>
    <w:rsid w:val="001C03BE"/>
    <w:rsid w:val="001C17D1"/>
    <w:rsid w:val="001C3B6E"/>
    <w:rsid w:val="001C4EDD"/>
    <w:rsid w:val="001C52DE"/>
    <w:rsid w:val="001C638F"/>
    <w:rsid w:val="001C64EF"/>
    <w:rsid w:val="001D055B"/>
    <w:rsid w:val="001D5415"/>
    <w:rsid w:val="001D6E3D"/>
    <w:rsid w:val="001D718C"/>
    <w:rsid w:val="001E0905"/>
    <w:rsid w:val="001E18E4"/>
    <w:rsid w:val="001E23A7"/>
    <w:rsid w:val="001E752F"/>
    <w:rsid w:val="001E7FF2"/>
    <w:rsid w:val="001F4C71"/>
    <w:rsid w:val="00202BB4"/>
    <w:rsid w:val="00206B18"/>
    <w:rsid w:val="002107D4"/>
    <w:rsid w:val="00211DB4"/>
    <w:rsid w:val="00215ABA"/>
    <w:rsid w:val="00216061"/>
    <w:rsid w:val="002218C1"/>
    <w:rsid w:val="00223E3E"/>
    <w:rsid w:val="00224356"/>
    <w:rsid w:val="00224850"/>
    <w:rsid w:val="002346AD"/>
    <w:rsid w:val="00234DC8"/>
    <w:rsid w:val="002414C2"/>
    <w:rsid w:val="00244BE9"/>
    <w:rsid w:val="00247847"/>
    <w:rsid w:val="00255719"/>
    <w:rsid w:val="0025671B"/>
    <w:rsid w:val="00260D50"/>
    <w:rsid w:val="002634B4"/>
    <w:rsid w:val="00270B9F"/>
    <w:rsid w:val="00273121"/>
    <w:rsid w:val="00274D92"/>
    <w:rsid w:val="00285546"/>
    <w:rsid w:val="00285EB5"/>
    <w:rsid w:val="002862AA"/>
    <w:rsid w:val="00286734"/>
    <w:rsid w:val="0028785D"/>
    <w:rsid w:val="00292F07"/>
    <w:rsid w:val="002950E2"/>
    <w:rsid w:val="002A1919"/>
    <w:rsid w:val="002A1AEF"/>
    <w:rsid w:val="002A3296"/>
    <w:rsid w:val="002A41B2"/>
    <w:rsid w:val="002A49A2"/>
    <w:rsid w:val="002A60C7"/>
    <w:rsid w:val="002B00A0"/>
    <w:rsid w:val="002C008E"/>
    <w:rsid w:val="002C16E2"/>
    <w:rsid w:val="002C237F"/>
    <w:rsid w:val="002C321F"/>
    <w:rsid w:val="002C5F59"/>
    <w:rsid w:val="002C6D9D"/>
    <w:rsid w:val="002D1D87"/>
    <w:rsid w:val="002E38A0"/>
    <w:rsid w:val="002F056D"/>
    <w:rsid w:val="002F0B5E"/>
    <w:rsid w:val="002F0F3E"/>
    <w:rsid w:val="002F651F"/>
    <w:rsid w:val="003003DC"/>
    <w:rsid w:val="00303371"/>
    <w:rsid w:val="003040F4"/>
    <w:rsid w:val="00321B19"/>
    <w:rsid w:val="00324300"/>
    <w:rsid w:val="00324F1B"/>
    <w:rsid w:val="00335FBF"/>
    <w:rsid w:val="00337728"/>
    <w:rsid w:val="00340288"/>
    <w:rsid w:val="00342D7E"/>
    <w:rsid w:val="0034437D"/>
    <w:rsid w:val="0034666C"/>
    <w:rsid w:val="00350F5F"/>
    <w:rsid w:val="00355834"/>
    <w:rsid w:val="00372DEB"/>
    <w:rsid w:val="0037509F"/>
    <w:rsid w:val="003800E2"/>
    <w:rsid w:val="003806EF"/>
    <w:rsid w:val="00380DD2"/>
    <w:rsid w:val="003814DE"/>
    <w:rsid w:val="0038181B"/>
    <w:rsid w:val="00382596"/>
    <w:rsid w:val="00383CEC"/>
    <w:rsid w:val="00393660"/>
    <w:rsid w:val="003938B5"/>
    <w:rsid w:val="003A5AA5"/>
    <w:rsid w:val="003B2AF3"/>
    <w:rsid w:val="003B6381"/>
    <w:rsid w:val="003B7079"/>
    <w:rsid w:val="003C094B"/>
    <w:rsid w:val="003C77EC"/>
    <w:rsid w:val="003D5295"/>
    <w:rsid w:val="003D5400"/>
    <w:rsid w:val="003E1CED"/>
    <w:rsid w:val="003E6625"/>
    <w:rsid w:val="003F2478"/>
    <w:rsid w:val="003F2F47"/>
    <w:rsid w:val="003F5E97"/>
    <w:rsid w:val="0040071B"/>
    <w:rsid w:val="0040124B"/>
    <w:rsid w:val="0040225F"/>
    <w:rsid w:val="004123F5"/>
    <w:rsid w:val="00414ADA"/>
    <w:rsid w:val="004259DB"/>
    <w:rsid w:val="00426D43"/>
    <w:rsid w:val="00431084"/>
    <w:rsid w:val="004332F4"/>
    <w:rsid w:val="00435EEA"/>
    <w:rsid w:val="0043631D"/>
    <w:rsid w:val="00445040"/>
    <w:rsid w:val="00445746"/>
    <w:rsid w:val="00446BF3"/>
    <w:rsid w:val="004509C3"/>
    <w:rsid w:val="00471001"/>
    <w:rsid w:val="00472E55"/>
    <w:rsid w:val="00477380"/>
    <w:rsid w:val="00482F57"/>
    <w:rsid w:val="004879D9"/>
    <w:rsid w:val="00490550"/>
    <w:rsid w:val="004A0BC5"/>
    <w:rsid w:val="004B06EC"/>
    <w:rsid w:val="004B371A"/>
    <w:rsid w:val="004C0F5D"/>
    <w:rsid w:val="004C2B22"/>
    <w:rsid w:val="004C740D"/>
    <w:rsid w:val="004D291C"/>
    <w:rsid w:val="004D3424"/>
    <w:rsid w:val="004D3EB2"/>
    <w:rsid w:val="004D406B"/>
    <w:rsid w:val="004D47FF"/>
    <w:rsid w:val="004D69A2"/>
    <w:rsid w:val="004E1B6E"/>
    <w:rsid w:val="004F0211"/>
    <w:rsid w:val="004F5C2E"/>
    <w:rsid w:val="0050222D"/>
    <w:rsid w:val="0050525A"/>
    <w:rsid w:val="00505DDE"/>
    <w:rsid w:val="00516DF4"/>
    <w:rsid w:val="005178D8"/>
    <w:rsid w:val="00523CAA"/>
    <w:rsid w:val="0052690D"/>
    <w:rsid w:val="00527DB5"/>
    <w:rsid w:val="00532059"/>
    <w:rsid w:val="00543561"/>
    <w:rsid w:val="00543F93"/>
    <w:rsid w:val="00546C3A"/>
    <w:rsid w:val="00551731"/>
    <w:rsid w:val="00551C0B"/>
    <w:rsid w:val="005544B8"/>
    <w:rsid w:val="00554EAC"/>
    <w:rsid w:val="00561F4A"/>
    <w:rsid w:val="00582ED7"/>
    <w:rsid w:val="005865BF"/>
    <w:rsid w:val="0059003F"/>
    <w:rsid w:val="0059094F"/>
    <w:rsid w:val="005946FD"/>
    <w:rsid w:val="00595E99"/>
    <w:rsid w:val="0059724D"/>
    <w:rsid w:val="005A05CD"/>
    <w:rsid w:val="005A2FE4"/>
    <w:rsid w:val="005B34CE"/>
    <w:rsid w:val="005B55AF"/>
    <w:rsid w:val="005B7F3A"/>
    <w:rsid w:val="005D6B37"/>
    <w:rsid w:val="005D7227"/>
    <w:rsid w:val="005E04B4"/>
    <w:rsid w:val="005E09B2"/>
    <w:rsid w:val="005E195A"/>
    <w:rsid w:val="005E31CF"/>
    <w:rsid w:val="005E63D3"/>
    <w:rsid w:val="005E67DB"/>
    <w:rsid w:val="005F33BA"/>
    <w:rsid w:val="005F74BA"/>
    <w:rsid w:val="006071F7"/>
    <w:rsid w:val="00611F56"/>
    <w:rsid w:val="00621488"/>
    <w:rsid w:val="00621E3F"/>
    <w:rsid w:val="00624B6F"/>
    <w:rsid w:val="00625624"/>
    <w:rsid w:val="00626408"/>
    <w:rsid w:val="006328B5"/>
    <w:rsid w:val="00636382"/>
    <w:rsid w:val="00637199"/>
    <w:rsid w:val="00640ACE"/>
    <w:rsid w:val="0064119E"/>
    <w:rsid w:val="00641236"/>
    <w:rsid w:val="00641380"/>
    <w:rsid w:val="00641968"/>
    <w:rsid w:val="00646F54"/>
    <w:rsid w:val="006516CC"/>
    <w:rsid w:val="00651C60"/>
    <w:rsid w:val="00652EB7"/>
    <w:rsid w:val="00657C4E"/>
    <w:rsid w:val="0067419C"/>
    <w:rsid w:val="0067554B"/>
    <w:rsid w:val="00680B1B"/>
    <w:rsid w:val="0068446F"/>
    <w:rsid w:val="00687737"/>
    <w:rsid w:val="00687C6D"/>
    <w:rsid w:val="006926BE"/>
    <w:rsid w:val="00695C0F"/>
    <w:rsid w:val="006A0B0D"/>
    <w:rsid w:val="006A3B2D"/>
    <w:rsid w:val="006B04E3"/>
    <w:rsid w:val="006B3F8D"/>
    <w:rsid w:val="006B74FC"/>
    <w:rsid w:val="006C234A"/>
    <w:rsid w:val="006C6813"/>
    <w:rsid w:val="006D2EEA"/>
    <w:rsid w:val="006D341B"/>
    <w:rsid w:val="006E1179"/>
    <w:rsid w:val="006E1F48"/>
    <w:rsid w:val="006E4032"/>
    <w:rsid w:val="006E71BC"/>
    <w:rsid w:val="006F3929"/>
    <w:rsid w:val="006F54C9"/>
    <w:rsid w:val="00701291"/>
    <w:rsid w:val="00705291"/>
    <w:rsid w:val="00705B23"/>
    <w:rsid w:val="007076E7"/>
    <w:rsid w:val="00715B06"/>
    <w:rsid w:val="007170A6"/>
    <w:rsid w:val="00720817"/>
    <w:rsid w:val="007236C3"/>
    <w:rsid w:val="00726FCA"/>
    <w:rsid w:val="007331EE"/>
    <w:rsid w:val="00744B91"/>
    <w:rsid w:val="00745B7E"/>
    <w:rsid w:val="00746ECB"/>
    <w:rsid w:val="00747885"/>
    <w:rsid w:val="0076300F"/>
    <w:rsid w:val="00763AB5"/>
    <w:rsid w:val="007647D9"/>
    <w:rsid w:val="007660A7"/>
    <w:rsid w:val="0076748A"/>
    <w:rsid w:val="00770AC4"/>
    <w:rsid w:val="00792D15"/>
    <w:rsid w:val="00795BD7"/>
    <w:rsid w:val="007A01AE"/>
    <w:rsid w:val="007A2463"/>
    <w:rsid w:val="007A3717"/>
    <w:rsid w:val="007B2120"/>
    <w:rsid w:val="007B3380"/>
    <w:rsid w:val="007B483E"/>
    <w:rsid w:val="007C5C9C"/>
    <w:rsid w:val="007D48B1"/>
    <w:rsid w:val="007E215C"/>
    <w:rsid w:val="007E7FAD"/>
    <w:rsid w:val="00805B7F"/>
    <w:rsid w:val="008079FE"/>
    <w:rsid w:val="008114E3"/>
    <w:rsid w:val="0082194F"/>
    <w:rsid w:val="00834373"/>
    <w:rsid w:val="00835CF0"/>
    <w:rsid w:val="00836307"/>
    <w:rsid w:val="00836822"/>
    <w:rsid w:val="0084593E"/>
    <w:rsid w:val="0085165F"/>
    <w:rsid w:val="0086095D"/>
    <w:rsid w:val="00861788"/>
    <w:rsid w:val="00866D81"/>
    <w:rsid w:val="00870BF1"/>
    <w:rsid w:val="0087725E"/>
    <w:rsid w:val="008828EB"/>
    <w:rsid w:val="008848F7"/>
    <w:rsid w:val="008978D3"/>
    <w:rsid w:val="008A4FDE"/>
    <w:rsid w:val="008A52AB"/>
    <w:rsid w:val="008B33A8"/>
    <w:rsid w:val="008B52AE"/>
    <w:rsid w:val="008C2E4B"/>
    <w:rsid w:val="008D3998"/>
    <w:rsid w:val="008D46B8"/>
    <w:rsid w:val="008D7384"/>
    <w:rsid w:val="008E0417"/>
    <w:rsid w:val="008E7343"/>
    <w:rsid w:val="008F1001"/>
    <w:rsid w:val="008F16D5"/>
    <w:rsid w:val="00900699"/>
    <w:rsid w:val="00903262"/>
    <w:rsid w:val="00903368"/>
    <w:rsid w:val="00905C7E"/>
    <w:rsid w:val="009063A8"/>
    <w:rsid w:val="0090749B"/>
    <w:rsid w:val="00911016"/>
    <w:rsid w:val="009142EB"/>
    <w:rsid w:val="00920741"/>
    <w:rsid w:val="0092263E"/>
    <w:rsid w:val="00926FC2"/>
    <w:rsid w:val="00932773"/>
    <w:rsid w:val="00934212"/>
    <w:rsid w:val="00937122"/>
    <w:rsid w:val="009414BA"/>
    <w:rsid w:val="009417EF"/>
    <w:rsid w:val="00942936"/>
    <w:rsid w:val="0094504A"/>
    <w:rsid w:val="009578F1"/>
    <w:rsid w:val="009635F7"/>
    <w:rsid w:val="00966052"/>
    <w:rsid w:val="00966973"/>
    <w:rsid w:val="009779B4"/>
    <w:rsid w:val="00981CD9"/>
    <w:rsid w:val="00992A75"/>
    <w:rsid w:val="0099365F"/>
    <w:rsid w:val="009A5D66"/>
    <w:rsid w:val="009A5E0F"/>
    <w:rsid w:val="009A64CA"/>
    <w:rsid w:val="009B3B33"/>
    <w:rsid w:val="009C1D0A"/>
    <w:rsid w:val="009C3255"/>
    <w:rsid w:val="009C58C7"/>
    <w:rsid w:val="009C7903"/>
    <w:rsid w:val="009D2CCC"/>
    <w:rsid w:val="009D4FCA"/>
    <w:rsid w:val="009D7A23"/>
    <w:rsid w:val="009E25F8"/>
    <w:rsid w:val="009E34E8"/>
    <w:rsid w:val="009E4483"/>
    <w:rsid w:val="009E62ED"/>
    <w:rsid w:val="009F1D87"/>
    <w:rsid w:val="009F2EA0"/>
    <w:rsid w:val="009F498C"/>
    <w:rsid w:val="009F5304"/>
    <w:rsid w:val="009F60BB"/>
    <w:rsid w:val="00A022D9"/>
    <w:rsid w:val="00A070B7"/>
    <w:rsid w:val="00A21626"/>
    <w:rsid w:val="00A241A2"/>
    <w:rsid w:val="00A25D2F"/>
    <w:rsid w:val="00A26CC0"/>
    <w:rsid w:val="00A340A7"/>
    <w:rsid w:val="00A347E7"/>
    <w:rsid w:val="00A35059"/>
    <w:rsid w:val="00A42F74"/>
    <w:rsid w:val="00A455D1"/>
    <w:rsid w:val="00A4583A"/>
    <w:rsid w:val="00A52FE0"/>
    <w:rsid w:val="00A54400"/>
    <w:rsid w:val="00A5481F"/>
    <w:rsid w:val="00A55C9D"/>
    <w:rsid w:val="00A560FA"/>
    <w:rsid w:val="00A568A6"/>
    <w:rsid w:val="00A605BB"/>
    <w:rsid w:val="00A62166"/>
    <w:rsid w:val="00A64477"/>
    <w:rsid w:val="00A700FC"/>
    <w:rsid w:val="00A702F0"/>
    <w:rsid w:val="00A72DED"/>
    <w:rsid w:val="00A763EC"/>
    <w:rsid w:val="00A827B8"/>
    <w:rsid w:val="00A8443E"/>
    <w:rsid w:val="00A86B41"/>
    <w:rsid w:val="00A87968"/>
    <w:rsid w:val="00A92485"/>
    <w:rsid w:val="00A92FB4"/>
    <w:rsid w:val="00AA0CFB"/>
    <w:rsid w:val="00AA784E"/>
    <w:rsid w:val="00AA7FBE"/>
    <w:rsid w:val="00AB17AC"/>
    <w:rsid w:val="00AB4F5E"/>
    <w:rsid w:val="00AC2BBB"/>
    <w:rsid w:val="00AC41F4"/>
    <w:rsid w:val="00AC5113"/>
    <w:rsid w:val="00AD32AE"/>
    <w:rsid w:val="00AD503E"/>
    <w:rsid w:val="00AD6080"/>
    <w:rsid w:val="00AD63CB"/>
    <w:rsid w:val="00AE1389"/>
    <w:rsid w:val="00AE465D"/>
    <w:rsid w:val="00AE6D29"/>
    <w:rsid w:val="00AF0686"/>
    <w:rsid w:val="00AF2A11"/>
    <w:rsid w:val="00AF7C13"/>
    <w:rsid w:val="00B01CAA"/>
    <w:rsid w:val="00B02543"/>
    <w:rsid w:val="00B0524B"/>
    <w:rsid w:val="00B062B6"/>
    <w:rsid w:val="00B110B2"/>
    <w:rsid w:val="00B14C29"/>
    <w:rsid w:val="00B15FFC"/>
    <w:rsid w:val="00B1757D"/>
    <w:rsid w:val="00B21BE3"/>
    <w:rsid w:val="00B277EE"/>
    <w:rsid w:val="00B31C63"/>
    <w:rsid w:val="00B32159"/>
    <w:rsid w:val="00B3721D"/>
    <w:rsid w:val="00B37F94"/>
    <w:rsid w:val="00B47B47"/>
    <w:rsid w:val="00B533B5"/>
    <w:rsid w:val="00B5756E"/>
    <w:rsid w:val="00B610F1"/>
    <w:rsid w:val="00B642A7"/>
    <w:rsid w:val="00B6598B"/>
    <w:rsid w:val="00B67370"/>
    <w:rsid w:val="00B72726"/>
    <w:rsid w:val="00B74790"/>
    <w:rsid w:val="00B75805"/>
    <w:rsid w:val="00B76F99"/>
    <w:rsid w:val="00B828DA"/>
    <w:rsid w:val="00B85341"/>
    <w:rsid w:val="00B91D90"/>
    <w:rsid w:val="00B91E6E"/>
    <w:rsid w:val="00B94A43"/>
    <w:rsid w:val="00BA5F3F"/>
    <w:rsid w:val="00BB2951"/>
    <w:rsid w:val="00BB45F8"/>
    <w:rsid w:val="00BB5487"/>
    <w:rsid w:val="00BC0A5B"/>
    <w:rsid w:val="00BC2258"/>
    <w:rsid w:val="00BC32A6"/>
    <w:rsid w:val="00BC34B7"/>
    <w:rsid w:val="00BC4444"/>
    <w:rsid w:val="00BC4A2A"/>
    <w:rsid w:val="00BD5800"/>
    <w:rsid w:val="00BD7869"/>
    <w:rsid w:val="00BE1135"/>
    <w:rsid w:val="00BE53A9"/>
    <w:rsid w:val="00BE7772"/>
    <w:rsid w:val="00BF4649"/>
    <w:rsid w:val="00C019C6"/>
    <w:rsid w:val="00C0212E"/>
    <w:rsid w:val="00C04C2E"/>
    <w:rsid w:val="00C05D6A"/>
    <w:rsid w:val="00C2164C"/>
    <w:rsid w:val="00C37500"/>
    <w:rsid w:val="00C465B7"/>
    <w:rsid w:val="00C4710F"/>
    <w:rsid w:val="00C536E9"/>
    <w:rsid w:val="00C60B90"/>
    <w:rsid w:val="00C62304"/>
    <w:rsid w:val="00C62C6A"/>
    <w:rsid w:val="00C64218"/>
    <w:rsid w:val="00C64C13"/>
    <w:rsid w:val="00C66E52"/>
    <w:rsid w:val="00C67218"/>
    <w:rsid w:val="00C72CEA"/>
    <w:rsid w:val="00C80FE9"/>
    <w:rsid w:val="00C8679F"/>
    <w:rsid w:val="00C87A95"/>
    <w:rsid w:val="00C91FDE"/>
    <w:rsid w:val="00C930E7"/>
    <w:rsid w:val="00CA02A9"/>
    <w:rsid w:val="00CA7ED8"/>
    <w:rsid w:val="00CB7B7D"/>
    <w:rsid w:val="00CC2454"/>
    <w:rsid w:val="00CC2DC5"/>
    <w:rsid w:val="00CC3762"/>
    <w:rsid w:val="00CC4A06"/>
    <w:rsid w:val="00CD5E03"/>
    <w:rsid w:val="00CD6D7E"/>
    <w:rsid w:val="00CE1BA0"/>
    <w:rsid w:val="00CE24DE"/>
    <w:rsid w:val="00CE3CA7"/>
    <w:rsid w:val="00CE6D67"/>
    <w:rsid w:val="00CF1E80"/>
    <w:rsid w:val="00CF510E"/>
    <w:rsid w:val="00CF5A8D"/>
    <w:rsid w:val="00CF5A97"/>
    <w:rsid w:val="00CF65CF"/>
    <w:rsid w:val="00D04051"/>
    <w:rsid w:val="00D04DF9"/>
    <w:rsid w:val="00D07C63"/>
    <w:rsid w:val="00D11B9B"/>
    <w:rsid w:val="00D22E82"/>
    <w:rsid w:val="00D246AE"/>
    <w:rsid w:val="00D24B2A"/>
    <w:rsid w:val="00D2627E"/>
    <w:rsid w:val="00D2746E"/>
    <w:rsid w:val="00D352C7"/>
    <w:rsid w:val="00D405B4"/>
    <w:rsid w:val="00D42C01"/>
    <w:rsid w:val="00D51B8A"/>
    <w:rsid w:val="00D520FB"/>
    <w:rsid w:val="00D549C9"/>
    <w:rsid w:val="00D56AEB"/>
    <w:rsid w:val="00D6480D"/>
    <w:rsid w:val="00D65F9A"/>
    <w:rsid w:val="00D705E1"/>
    <w:rsid w:val="00D70AED"/>
    <w:rsid w:val="00D72E6A"/>
    <w:rsid w:val="00D740D5"/>
    <w:rsid w:val="00D8049C"/>
    <w:rsid w:val="00D8182F"/>
    <w:rsid w:val="00D827A3"/>
    <w:rsid w:val="00D900C5"/>
    <w:rsid w:val="00D90ACE"/>
    <w:rsid w:val="00D91701"/>
    <w:rsid w:val="00D918E0"/>
    <w:rsid w:val="00D93679"/>
    <w:rsid w:val="00D978E0"/>
    <w:rsid w:val="00D97D4E"/>
    <w:rsid w:val="00DA085C"/>
    <w:rsid w:val="00DA2906"/>
    <w:rsid w:val="00DA7378"/>
    <w:rsid w:val="00DB2A4A"/>
    <w:rsid w:val="00DC01A2"/>
    <w:rsid w:val="00DC0DD1"/>
    <w:rsid w:val="00DC18BF"/>
    <w:rsid w:val="00DC1D71"/>
    <w:rsid w:val="00DC2876"/>
    <w:rsid w:val="00DC2F8D"/>
    <w:rsid w:val="00DC63BE"/>
    <w:rsid w:val="00DC667C"/>
    <w:rsid w:val="00DC76C2"/>
    <w:rsid w:val="00DD3D29"/>
    <w:rsid w:val="00DD4DB8"/>
    <w:rsid w:val="00DD723C"/>
    <w:rsid w:val="00DE6FBD"/>
    <w:rsid w:val="00DF1AFE"/>
    <w:rsid w:val="00E0743E"/>
    <w:rsid w:val="00E07745"/>
    <w:rsid w:val="00E07F4B"/>
    <w:rsid w:val="00E1493A"/>
    <w:rsid w:val="00E16923"/>
    <w:rsid w:val="00E2064B"/>
    <w:rsid w:val="00E210F8"/>
    <w:rsid w:val="00E24017"/>
    <w:rsid w:val="00E25FA3"/>
    <w:rsid w:val="00E266C3"/>
    <w:rsid w:val="00E31158"/>
    <w:rsid w:val="00E32C29"/>
    <w:rsid w:val="00E35BC4"/>
    <w:rsid w:val="00E37EEB"/>
    <w:rsid w:val="00E401DF"/>
    <w:rsid w:val="00E42D48"/>
    <w:rsid w:val="00E4349C"/>
    <w:rsid w:val="00E43A5A"/>
    <w:rsid w:val="00E503B1"/>
    <w:rsid w:val="00E55321"/>
    <w:rsid w:val="00E61E45"/>
    <w:rsid w:val="00E63CB5"/>
    <w:rsid w:val="00E640BA"/>
    <w:rsid w:val="00E649EA"/>
    <w:rsid w:val="00E70904"/>
    <w:rsid w:val="00E70F9B"/>
    <w:rsid w:val="00E7364D"/>
    <w:rsid w:val="00E7638E"/>
    <w:rsid w:val="00E7654C"/>
    <w:rsid w:val="00E8107A"/>
    <w:rsid w:val="00E84889"/>
    <w:rsid w:val="00E877FD"/>
    <w:rsid w:val="00E91A21"/>
    <w:rsid w:val="00E91ADF"/>
    <w:rsid w:val="00E928AF"/>
    <w:rsid w:val="00E93E7A"/>
    <w:rsid w:val="00E9634C"/>
    <w:rsid w:val="00EA2818"/>
    <w:rsid w:val="00EA39E3"/>
    <w:rsid w:val="00EB3AC1"/>
    <w:rsid w:val="00EC0053"/>
    <w:rsid w:val="00EC7153"/>
    <w:rsid w:val="00EE781D"/>
    <w:rsid w:val="00EF09DB"/>
    <w:rsid w:val="00EF2887"/>
    <w:rsid w:val="00F02EAA"/>
    <w:rsid w:val="00F06260"/>
    <w:rsid w:val="00F06321"/>
    <w:rsid w:val="00F12014"/>
    <w:rsid w:val="00F14B75"/>
    <w:rsid w:val="00F161F4"/>
    <w:rsid w:val="00F16F23"/>
    <w:rsid w:val="00F20F8F"/>
    <w:rsid w:val="00F228EA"/>
    <w:rsid w:val="00F2375B"/>
    <w:rsid w:val="00F2689B"/>
    <w:rsid w:val="00F302D4"/>
    <w:rsid w:val="00F3059B"/>
    <w:rsid w:val="00F32AC3"/>
    <w:rsid w:val="00F37F62"/>
    <w:rsid w:val="00F60E57"/>
    <w:rsid w:val="00F64AAB"/>
    <w:rsid w:val="00F67BC5"/>
    <w:rsid w:val="00F70BF3"/>
    <w:rsid w:val="00F7176C"/>
    <w:rsid w:val="00F7185B"/>
    <w:rsid w:val="00F75189"/>
    <w:rsid w:val="00F80611"/>
    <w:rsid w:val="00F84055"/>
    <w:rsid w:val="00F849D4"/>
    <w:rsid w:val="00F87643"/>
    <w:rsid w:val="00F87CC0"/>
    <w:rsid w:val="00F94DF8"/>
    <w:rsid w:val="00FA1DCA"/>
    <w:rsid w:val="00FA36C1"/>
    <w:rsid w:val="00FB0C08"/>
    <w:rsid w:val="00FB28E2"/>
    <w:rsid w:val="00FB4CC1"/>
    <w:rsid w:val="00FC3641"/>
    <w:rsid w:val="00FC5DE0"/>
    <w:rsid w:val="00FC6A10"/>
    <w:rsid w:val="00FD5A1F"/>
    <w:rsid w:val="00FD7DBF"/>
    <w:rsid w:val="00FE45E0"/>
    <w:rsid w:val="00FE7AA6"/>
    <w:rsid w:val="00FF2374"/>
    <w:rsid w:val="00FF3497"/>
    <w:rsid w:val="00FF5D1F"/>
    <w:rsid w:val="00FF68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CFF9E0F"/>
  <w15:docId w15:val="{8E6873FB-499D-49CA-959C-3F1311CF1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0B0D"/>
    <w:pPr>
      <w:ind w:left="720"/>
      <w:contextualSpacing/>
    </w:pPr>
  </w:style>
  <w:style w:type="table" w:styleId="TableGrid">
    <w:name w:val="Table Grid"/>
    <w:basedOn w:val="TableNormal"/>
    <w:uiPriority w:val="39"/>
    <w:rsid w:val="00286734"/>
    <w:pPr>
      <w:spacing w:after="0" w:line="240" w:lineRule="auto"/>
    </w:pPr>
    <w:rPr>
      <w:sz w:val="24"/>
      <w:szCs w:val="24"/>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076E7"/>
    <w:rPr>
      <w:color w:val="0563C1" w:themeColor="hyperlink"/>
      <w:u w:val="single"/>
    </w:rPr>
  </w:style>
  <w:style w:type="character" w:styleId="CommentReference">
    <w:name w:val="annotation reference"/>
    <w:basedOn w:val="DefaultParagraphFont"/>
    <w:uiPriority w:val="99"/>
    <w:semiHidden/>
    <w:unhideWhenUsed/>
    <w:rsid w:val="001A79B2"/>
    <w:rPr>
      <w:sz w:val="18"/>
      <w:szCs w:val="18"/>
    </w:rPr>
  </w:style>
  <w:style w:type="paragraph" w:styleId="CommentText">
    <w:name w:val="annotation text"/>
    <w:basedOn w:val="Normal"/>
    <w:link w:val="CommentTextChar"/>
    <w:uiPriority w:val="99"/>
    <w:unhideWhenUsed/>
    <w:rsid w:val="001A79B2"/>
    <w:pPr>
      <w:spacing w:line="240" w:lineRule="auto"/>
    </w:pPr>
    <w:rPr>
      <w:sz w:val="24"/>
      <w:szCs w:val="24"/>
    </w:rPr>
  </w:style>
  <w:style w:type="character" w:customStyle="1" w:styleId="CommentTextChar">
    <w:name w:val="Comment Text Char"/>
    <w:basedOn w:val="DefaultParagraphFont"/>
    <w:link w:val="CommentText"/>
    <w:uiPriority w:val="99"/>
    <w:rsid w:val="001A79B2"/>
    <w:rPr>
      <w:sz w:val="24"/>
      <w:szCs w:val="24"/>
    </w:rPr>
  </w:style>
  <w:style w:type="paragraph" w:styleId="CommentSubject">
    <w:name w:val="annotation subject"/>
    <w:basedOn w:val="CommentText"/>
    <w:next w:val="CommentText"/>
    <w:link w:val="CommentSubjectChar"/>
    <w:uiPriority w:val="99"/>
    <w:semiHidden/>
    <w:unhideWhenUsed/>
    <w:rsid w:val="001A79B2"/>
    <w:rPr>
      <w:b/>
      <w:bCs/>
      <w:sz w:val="20"/>
      <w:szCs w:val="20"/>
    </w:rPr>
  </w:style>
  <w:style w:type="character" w:customStyle="1" w:styleId="CommentSubjectChar">
    <w:name w:val="Comment Subject Char"/>
    <w:basedOn w:val="CommentTextChar"/>
    <w:link w:val="CommentSubject"/>
    <w:uiPriority w:val="99"/>
    <w:semiHidden/>
    <w:rsid w:val="001A79B2"/>
    <w:rPr>
      <w:b/>
      <w:bCs/>
      <w:sz w:val="20"/>
      <w:szCs w:val="20"/>
    </w:rPr>
  </w:style>
  <w:style w:type="paragraph" w:styleId="BalloonText">
    <w:name w:val="Balloon Text"/>
    <w:basedOn w:val="Normal"/>
    <w:link w:val="BalloonTextChar"/>
    <w:uiPriority w:val="99"/>
    <w:semiHidden/>
    <w:unhideWhenUsed/>
    <w:rsid w:val="001A79B2"/>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A79B2"/>
    <w:rPr>
      <w:rFonts w:ascii="Lucida Grande" w:hAnsi="Lucida Grande" w:cs="Lucida Grande"/>
      <w:sz w:val="18"/>
      <w:szCs w:val="18"/>
    </w:rPr>
  </w:style>
  <w:style w:type="paragraph" w:styleId="Revision">
    <w:name w:val="Revision"/>
    <w:hidden/>
    <w:uiPriority w:val="99"/>
    <w:semiHidden/>
    <w:rsid w:val="00595E99"/>
    <w:pPr>
      <w:spacing w:after="0" w:line="240" w:lineRule="auto"/>
    </w:pPr>
  </w:style>
  <w:style w:type="paragraph" w:styleId="FootnoteText">
    <w:name w:val="footnote text"/>
    <w:basedOn w:val="Normal"/>
    <w:link w:val="FootnoteTextChar"/>
    <w:uiPriority w:val="99"/>
    <w:unhideWhenUsed/>
    <w:rsid w:val="004D291C"/>
    <w:pPr>
      <w:spacing w:after="0" w:line="240" w:lineRule="auto"/>
    </w:pPr>
    <w:rPr>
      <w:sz w:val="24"/>
      <w:szCs w:val="24"/>
    </w:rPr>
  </w:style>
  <w:style w:type="character" w:customStyle="1" w:styleId="FootnoteTextChar">
    <w:name w:val="Footnote Text Char"/>
    <w:basedOn w:val="DefaultParagraphFont"/>
    <w:link w:val="FootnoteText"/>
    <w:uiPriority w:val="99"/>
    <w:rsid w:val="004D291C"/>
    <w:rPr>
      <w:sz w:val="24"/>
      <w:szCs w:val="24"/>
    </w:rPr>
  </w:style>
  <w:style w:type="character" w:styleId="FootnoteReference">
    <w:name w:val="footnote reference"/>
    <w:basedOn w:val="DefaultParagraphFont"/>
    <w:uiPriority w:val="99"/>
    <w:unhideWhenUsed/>
    <w:rsid w:val="004D291C"/>
    <w:rPr>
      <w:vertAlign w:val="superscript"/>
    </w:rPr>
  </w:style>
  <w:style w:type="paragraph" w:styleId="NormalWeb">
    <w:name w:val="Normal (Web)"/>
    <w:basedOn w:val="Normal"/>
    <w:uiPriority w:val="99"/>
    <w:unhideWhenUsed/>
    <w:rsid w:val="00001014"/>
    <w:pPr>
      <w:spacing w:before="100" w:beforeAutospacing="1" w:after="100" w:afterAutospacing="1" w:line="240" w:lineRule="auto"/>
    </w:pPr>
    <w:rPr>
      <w:rFonts w:ascii="Times" w:hAnsi="Times" w:cs="Times New Roman"/>
      <w:sz w:val="20"/>
      <w:szCs w:val="20"/>
      <w:lang w:val="en-GB"/>
    </w:rPr>
  </w:style>
  <w:style w:type="table" w:styleId="LightList-Accent5">
    <w:name w:val="Light List Accent 5"/>
    <w:basedOn w:val="TableNormal"/>
    <w:uiPriority w:val="61"/>
    <w:rsid w:val="003C094B"/>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character" w:styleId="FollowedHyperlink">
    <w:name w:val="FollowedHyperlink"/>
    <w:basedOn w:val="DefaultParagraphFont"/>
    <w:uiPriority w:val="99"/>
    <w:semiHidden/>
    <w:unhideWhenUsed/>
    <w:rsid w:val="008B52AE"/>
    <w:rPr>
      <w:color w:val="954F72" w:themeColor="followedHyperlink"/>
      <w:u w:val="single"/>
    </w:rPr>
  </w:style>
  <w:style w:type="character" w:customStyle="1" w:styleId="apple-converted-space">
    <w:name w:val="apple-converted-space"/>
    <w:basedOn w:val="DefaultParagraphFont"/>
    <w:rsid w:val="0043631D"/>
  </w:style>
  <w:style w:type="table" w:customStyle="1" w:styleId="TableGrid1">
    <w:name w:val="Table Grid1"/>
    <w:basedOn w:val="TableNormal"/>
    <w:next w:val="TableGrid"/>
    <w:uiPriority w:val="59"/>
    <w:rsid w:val="00A560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1135"/>
    <w:pPr>
      <w:tabs>
        <w:tab w:val="center" w:pos="4320"/>
        <w:tab w:val="right" w:pos="8640"/>
      </w:tabs>
      <w:spacing w:after="0" w:line="240" w:lineRule="auto"/>
    </w:pPr>
  </w:style>
  <w:style w:type="character" w:customStyle="1" w:styleId="HeaderChar">
    <w:name w:val="Header Char"/>
    <w:basedOn w:val="DefaultParagraphFont"/>
    <w:link w:val="Header"/>
    <w:uiPriority w:val="99"/>
    <w:rsid w:val="00BE1135"/>
  </w:style>
  <w:style w:type="paragraph" w:styleId="Footer">
    <w:name w:val="footer"/>
    <w:basedOn w:val="Normal"/>
    <w:link w:val="FooterChar"/>
    <w:uiPriority w:val="99"/>
    <w:unhideWhenUsed/>
    <w:rsid w:val="00BE1135"/>
    <w:pPr>
      <w:tabs>
        <w:tab w:val="center" w:pos="4320"/>
        <w:tab w:val="right" w:pos="8640"/>
      </w:tabs>
      <w:spacing w:after="0" w:line="240" w:lineRule="auto"/>
    </w:pPr>
  </w:style>
  <w:style w:type="character" w:customStyle="1" w:styleId="FooterChar">
    <w:name w:val="Footer Char"/>
    <w:basedOn w:val="DefaultParagraphFont"/>
    <w:link w:val="Footer"/>
    <w:uiPriority w:val="99"/>
    <w:rsid w:val="00BE1135"/>
  </w:style>
  <w:style w:type="character" w:styleId="UnresolvedMention">
    <w:name w:val="Unresolved Mention"/>
    <w:basedOn w:val="DefaultParagraphFont"/>
    <w:uiPriority w:val="99"/>
    <w:semiHidden/>
    <w:unhideWhenUsed/>
    <w:rsid w:val="00E709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90866">
      <w:bodyDiv w:val="1"/>
      <w:marLeft w:val="0"/>
      <w:marRight w:val="0"/>
      <w:marTop w:val="0"/>
      <w:marBottom w:val="0"/>
      <w:divBdr>
        <w:top w:val="none" w:sz="0" w:space="0" w:color="auto"/>
        <w:left w:val="none" w:sz="0" w:space="0" w:color="auto"/>
        <w:bottom w:val="none" w:sz="0" w:space="0" w:color="auto"/>
        <w:right w:val="none" w:sz="0" w:space="0" w:color="auto"/>
      </w:divBdr>
      <w:divsChild>
        <w:div w:id="1805149671">
          <w:marLeft w:val="547"/>
          <w:marRight w:val="0"/>
          <w:marTop w:val="106"/>
          <w:marBottom w:val="0"/>
          <w:divBdr>
            <w:top w:val="none" w:sz="0" w:space="0" w:color="auto"/>
            <w:left w:val="none" w:sz="0" w:space="0" w:color="auto"/>
            <w:bottom w:val="none" w:sz="0" w:space="0" w:color="auto"/>
            <w:right w:val="none" w:sz="0" w:space="0" w:color="auto"/>
          </w:divBdr>
        </w:div>
      </w:divsChild>
    </w:div>
    <w:div w:id="5257777">
      <w:bodyDiv w:val="1"/>
      <w:marLeft w:val="0"/>
      <w:marRight w:val="0"/>
      <w:marTop w:val="0"/>
      <w:marBottom w:val="0"/>
      <w:divBdr>
        <w:top w:val="none" w:sz="0" w:space="0" w:color="auto"/>
        <w:left w:val="none" w:sz="0" w:space="0" w:color="auto"/>
        <w:bottom w:val="none" w:sz="0" w:space="0" w:color="auto"/>
        <w:right w:val="none" w:sz="0" w:space="0" w:color="auto"/>
      </w:divBdr>
    </w:div>
    <w:div w:id="12418280">
      <w:bodyDiv w:val="1"/>
      <w:marLeft w:val="0"/>
      <w:marRight w:val="0"/>
      <w:marTop w:val="0"/>
      <w:marBottom w:val="0"/>
      <w:divBdr>
        <w:top w:val="none" w:sz="0" w:space="0" w:color="auto"/>
        <w:left w:val="none" w:sz="0" w:space="0" w:color="auto"/>
        <w:bottom w:val="none" w:sz="0" w:space="0" w:color="auto"/>
        <w:right w:val="none" w:sz="0" w:space="0" w:color="auto"/>
      </w:divBdr>
    </w:div>
    <w:div w:id="27418838">
      <w:bodyDiv w:val="1"/>
      <w:marLeft w:val="0"/>
      <w:marRight w:val="0"/>
      <w:marTop w:val="0"/>
      <w:marBottom w:val="0"/>
      <w:divBdr>
        <w:top w:val="none" w:sz="0" w:space="0" w:color="auto"/>
        <w:left w:val="none" w:sz="0" w:space="0" w:color="auto"/>
        <w:bottom w:val="none" w:sz="0" w:space="0" w:color="auto"/>
        <w:right w:val="none" w:sz="0" w:space="0" w:color="auto"/>
      </w:divBdr>
    </w:div>
    <w:div w:id="62341746">
      <w:bodyDiv w:val="1"/>
      <w:marLeft w:val="0"/>
      <w:marRight w:val="0"/>
      <w:marTop w:val="0"/>
      <w:marBottom w:val="0"/>
      <w:divBdr>
        <w:top w:val="none" w:sz="0" w:space="0" w:color="auto"/>
        <w:left w:val="none" w:sz="0" w:space="0" w:color="auto"/>
        <w:bottom w:val="none" w:sz="0" w:space="0" w:color="auto"/>
        <w:right w:val="none" w:sz="0" w:space="0" w:color="auto"/>
      </w:divBdr>
    </w:div>
    <w:div w:id="88238217">
      <w:bodyDiv w:val="1"/>
      <w:marLeft w:val="0"/>
      <w:marRight w:val="0"/>
      <w:marTop w:val="0"/>
      <w:marBottom w:val="0"/>
      <w:divBdr>
        <w:top w:val="none" w:sz="0" w:space="0" w:color="auto"/>
        <w:left w:val="none" w:sz="0" w:space="0" w:color="auto"/>
        <w:bottom w:val="none" w:sz="0" w:space="0" w:color="auto"/>
        <w:right w:val="none" w:sz="0" w:space="0" w:color="auto"/>
      </w:divBdr>
    </w:div>
    <w:div w:id="112751588">
      <w:bodyDiv w:val="1"/>
      <w:marLeft w:val="0"/>
      <w:marRight w:val="0"/>
      <w:marTop w:val="0"/>
      <w:marBottom w:val="0"/>
      <w:divBdr>
        <w:top w:val="none" w:sz="0" w:space="0" w:color="auto"/>
        <w:left w:val="none" w:sz="0" w:space="0" w:color="auto"/>
        <w:bottom w:val="none" w:sz="0" w:space="0" w:color="auto"/>
        <w:right w:val="none" w:sz="0" w:space="0" w:color="auto"/>
      </w:divBdr>
    </w:div>
    <w:div w:id="252052288">
      <w:bodyDiv w:val="1"/>
      <w:marLeft w:val="0"/>
      <w:marRight w:val="0"/>
      <w:marTop w:val="0"/>
      <w:marBottom w:val="0"/>
      <w:divBdr>
        <w:top w:val="none" w:sz="0" w:space="0" w:color="auto"/>
        <w:left w:val="none" w:sz="0" w:space="0" w:color="auto"/>
        <w:bottom w:val="none" w:sz="0" w:space="0" w:color="auto"/>
        <w:right w:val="none" w:sz="0" w:space="0" w:color="auto"/>
      </w:divBdr>
    </w:div>
    <w:div w:id="373769623">
      <w:bodyDiv w:val="1"/>
      <w:marLeft w:val="0"/>
      <w:marRight w:val="0"/>
      <w:marTop w:val="0"/>
      <w:marBottom w:val="0"/>
      <w:divBdr>
        <w:top w:val="none" w:sz="0" w:space="0" w:color="auto"/>
        <w:left w:val="none" w:sz="0" w:space="0" w:color="auto"/>
        <w:bottom w:val="none" w:sz="0" w:space="0" w:color="auto"/>
        <w:right w:val="none" w:sz="0" w:space="0" w:color="auto"/>
      </w:divBdr>
    </w:div>
    <w:div w:id="399984824">
      <w:bodyDiv w:val="1"/>
      <w:marLeft w:val="0"/>
      <w:marRight w:val="0"/>
      <w:marTop w:val="0"/>
      <w:marBottom w:val="0"/>
      <w:divBdr>
        <w:top w:val="none" w:sz="0" w:space="0" w:color="auto"/>
        <w:left w:val="none" w:sz="0" w:space="0" w:color="auto"/>
        <w:bottom w:val="none" w:sz="0" w:space="0" w:color="auto"/>
        <w:right w:val="none" w:sz="0" w:space="0" w:color="auto"/>
      </w:divBdr>
    </w:div>
    <w:div w:id="415443871">
      <w:bodyDiv w:val="1"/>
      <w:marLeft w:val="0"/>
      <w:marRight w:val="0"/>
      <w:marTop w:val="0"/>
      <w:marBottom w:val="0"/>
      <w:divBdr>
        <w:top w:val="none" w:sz="0" w:space="0" w:color="auto"/>
        <w:left w:val="none" w:sz="0" w:space="0" w:color="auto"/>
        <w:bottom w:val="none" w:sz="0" w:space="0" w:color="auto"/>
        <w:right w:val="none" w:sz="0" w:space="0" w:color="auto"/>
      </w:divBdr>
    </w:div>
    <w:div w:id="439448275">
      <w:bodyDiv w:val="1"/>
      <w:marLeft w:val="0"/>
      <w:marRight w:val="0"/>
      <w:marTop w:val="0"/>
      <w:marBottom w:val="0"/>
      <w:divBdr>
        <w:top w:val="none" w:sz="0" w:space="0" w:color="auto"/>
        <w:left w:val="none" w:sz="0" w:space="0" w:color="auto"/>
        <w:bottom w:val="none" w:sz="0" w:space="0" w:color="auto"/>
        <w:right w:val="none" w:sz="0" w:space="0" w:color="auto"/>
      </w:divBdr>
    </w:div>
    <w:div w:id="501048552">
      <w:bodyDiv w:val="1"/>
      <w:marLeft w:val="0"/>
      <w:marRight w:val="0"/>
      <w:marTop w:val="0"/>
      <w:marBottom w:val="0"/>
      <w:divBdr>
        <w:top w:val="none" w:sz="0" w:space="0" w:color="auto"/>
        <w:left w:val="none" w:sz="0" w:space="0" w:color="auto"/>
        <w:bottom w:val="none" w:sz="0" w:space="0" w:color="auto"/>
        <w:right w:val="none" w:sz="0" w:space="0" w:color="auto"/>
      </w:divBdr>
      <w:divsChild>
        <w:div w:id="1818959573">
          <w:marLeft w:val="547"/>
          <w:marRight w:val="0"/>
          <w:marTop w:val="86"/>
          <w:marBottom w:val="0"/>
          <w:divBdr>
            <w:top w:val="none" w:sz="0" w:space="0" w:color="auto"/>
            <w:left w:val="none" w:sz="0" w:space="0" w:color="auto"/>
            <w:bottom w:val="none" w:sz="0" w:space="0" w:color="auto"/>
            <w:right w:val="none" w:sz="0" w:space="0" w:color="auto"/>
          </w:divBdr>
        </w:div>
        <w:div w:id="924413163">
          <w:marLeft w:val="547"/>
          <w:marRight w:val="0"/>
          <w:marTop w:val="86"/>
          <w:marBottom w:val="0"/>
          <w:divBdr>
            <w:top w:val="none" w:sz="0" w:space="0" w:color="auto"/>
            <w:left w:val="none" w:sz="0" w:space="0" w:color="auto"/>
            <w:bottom w:val="none" w:sz="0" w:space="0" w:color="auto"/>
            <w:right w:val="none" w:sz="0" w:space="0" w:color="auto"/>
          </w:divBdr>
        </w:div>
        <w:div w:id="188496665">
          <w:marLeft w:val="547"/>
          <w:marRight w:val="0"/>
          <w:marTop w:val="86"/>
          <w:marBottom w:val="0"/>
          <w:divBdr>
            <w:top w:val="none" w:sz="0" w:space="0" w:color="auto"/>
            <w:left w:val="none" w:sz="0" w:space="0" w:color="auto"/>
            <w:bottom w:val="none" w:sz="0" w:space="0" w:color="auto"/>
            <w:right w:val="none" w:sz="0" w:space="0" w:color="auto"/>
          </w:divBdr>
        </w:div>
        <w:div w:id="524834095">
          <w:marLeft w:val="547"/>
          <w:marRight w:val="0"/>
          <w:marTop w:val="86"/>
          <w:marBottom w:val="0"/>
          <w:divBdr>
            <w:top w:val="none" w:sz="0" w:space="0" w:color="auto"/>
            <w:left w:val="none" w:sz="0" w:space="0" w:color="auto"/>
            <w:bottom w:val="none" w:sz="0" w:space="0" w:color="auto"/>
            <w:right w:val="none" w:sz="0" w:space="0" w:color="auto"/>
          </w:divBdr>
        </w:div>
        <w:div w:id="1659577164">
          <w:marLeft w:val="547"/>
          <w:marRight w:val="0"/>
          <w:marTop w:val="86"/>
          <w:marBottom w:val="0"/>
          <w:divBdr>
            <w:top w:val="none" w:sz="0" w:space="0" w:color="auto"/>
            <w:left w:val="none" w:sz="0" w:space="0" w:color="auto"/>
            <w:bottom w:val="none" w:sz="0" w:space="0" w:color="auto"/>
            <w:right w:val="none" w:sz="0" w:space="0" w:color="auto"/>
          </w:divBdr>
        </w:div>
      </w:divsChild>
    </w:div>
    <w:div w:id="566460161">
      <w:bodyDiv w:val="1"/>
      <w:marLeft w:val="0"/>
      <w:marRight w:val="0"/>
      <w:marTop w:val="0"/>
      <w:marBottom w:val="0"/>
      <w:divBdr>
        <w:top w:val="none" w:sz="0" w:space="0" w:color="auto"/>
        <w:left w:val="none" w:sz="0" w:space="0" w:color="auto"/>
        <w:bottom w:val="none" w:sz="0" w:space="0" w:color="auto"/>
        <w:right w:val="none" w:sz="0" w:space="0" w:color="auto"/>
      </w:divBdr>
    </w:div>
    <w:div w:id="586227047">
      <w:bodyDiv w:val="1"/>
      <w:marLeft w:val="0"/>
      <w:marRight w:val="0"/>
      <w:marTop w:val="0"/>
      <w:marBottom w:val="0"/>
      <w:divBdr>
        <w:top w:val="none" w:sz="0" w:space="0" w:color="auto"/>
        <w:left w:val="none" w:sz="0" w:space="0" w:color="auto"/>
        <w:bottom w:val="none" w:sz="0" w:space="0" w:color="auto"/>
        <w:right w:val="none" w:sz="0" w:space="0" w:color="auto"/>
      </w:divBdr>
      <w:divsChild>
        <w:div w:id="753279537">
          <w:marLeft w:val="806"/>
          <w:marRight w:val="0"/>
          <w:marTop w:val="96"/>
          <w:marBottom w:val="0"/>
          <w:divBdr>
            <w:top w:val="none" w:sz="0" w:space="0" w:color="auto"/>
            <w:left w:val="none" w:sz="0" w:space="0" w:color="auto"/>
            <w:bottom w:val="none" w:sz="0" w:space="0" w:color="auto"/>
            <w:right w:val="none" w:sz="0" w:space="0" w:color="auto"/>
          </w:divBdr>
        </w:div>
        <w:div w:id="2112357294">
          <w:marLeft w:val="547"/>
          <w:marRight w:val="0"/>
          <w:marTop w:val="86"/>
          <w:marBottom w:val="0"/>
          <w:divBdr>
            <w:top w:val="none" w:sz="0" w:space="0" w:color="auto"/>
            <w:left w:val="none" w:sz="0" w:space="0" w:color="auto"/>
            <w:bottom w:val="none" w:sz="0" w:space="0" w:color="auto"/>
            <w:right w:val="none" w:sz="0" w:space="0" w:color="auto"/>
          </w:divBdr>
        </w:div>
        <w:div w:id="872618771">
          <w:marLeft w:val="547"/>
          <w:marRight w:val="0"/>
          <w:marTop w:val="86"/>
          <w:marBottom w:val="0"/>
          <w:divBdr>
            <w:top w:val="none" w:sz="0" w:space="0" w:color="auto"/>
            <w:left w:val="none" w:sz="0" w:space="0" w:color="auto"/>
            <w:bottom w:val="none" w:sz="0" w:space="0" w:color="auto"/>
            <w:right w:val="none" w:sz="0" w:space="0" w:color="auto"/>
          </w:divBdr>
        </w:div>
        <w:div w:id="941109922">
          <w:marLeft w:val="547"/>
          <w:marRight w:val="0"/>
          <w:marTop w:val="86"/>
          <w:marBottom w:val="0"/>
          <w:divBdr>
            <w:top w:val="none" w:sz="0" w:space="0" w:color="auto"/>
            <w:left w:val="none" w:sz="0" w:space="0" w:color="auto"/>
            <w:bottom w:val="none" w:sz="0" w:space="0" w:color="auto"/>
            <w:right w:val="none" w:sz="0" w:space="0" w:color="auto"/>
          </w:divBdr>
        </w:div>
        <w:div w:id="3552969">
          <w:marLeft w:val="547"/>
          <w:marRight w:val="0"/>
          <w:marTop w:val="86"/>
          <w:marBottom w:val="0"/>
          <w:divBdr>
            <w:top w:val="none" w:sz="0" w:space="0" w:color="auto"/>
            <w:left w:val="none" w:sz="0" w:space="0" w:color="auto"/>
            <w:bottom w:val="none" w:sz="0" w:space="0" w:color="auto"/>
            <w:right w:val="none" w:sz="0" w:space="0" w:color="auto"/>
          </w:divBdr>
        </w:div>
        <w:div w:id="284426600">
          <w:marLeft w:val="547"/>
          <w:marRight w:val="0"/>
          <w:marTop w:val="86"/>
          <w:marBottom w:val="0"/>
          <w:divBdr>
            <w:top w:val="none" w:sz="0" w:space="0" w:color="auto"/>
            <w:left w:val="none" w:sz="0" w:space="0" w:color="auto"/>
            <w:bottom w:val="none" w:sz="0" w:space="0" w:color="auto"/>
            <w:right w:val="none" w:sz="0" w:space="0" w:color="auto"/>
          </w:divBdr>
        </w:div>
        <w:div w:id="2044862300">
          <w:marLeft w:val="547"/>
          <w:marRight w:val="0"/>
          <w:marTop w:val="86"/>
          <w:marBottom w:val="0"/>
          <w:divBdr>
            <w:top w:val="none" w:sz="0" w:space="0" w:color="auto"/>
            <w:left w:val="none" w:sz="0" w:space="0" w:color="auto"/>
            <w:bottom w:val="none" w:sz="0" w:space="0" w:color="auto"/>
            <w:right w:val="none" w:sz="0" w:space="0" w:color="auto"/>
          </w:divBdr>
        </w:div>
        <w:div w:id="345792654">
          <w:marLeft w:val="547"/>
          <w:marRight w:val="0"/>
          <w:marTop w:val="86"/>
          <w:marBottom w:val="0"/>
          <w:divBdr>
            <w:top w:val="none" w:sz="0" w:space="0" w:color="auto"/>
            <w:left w:val="none" w:sz="0" w:space="0" w:color="auto"/>
            <w:bottom w:val="none" w:sz="0" w:space="0" w:color="auto"/>
            <w:right w:val="none" w:sz="0" w:space="0" w:color="auto"/>
          </w:divBdr>
        </w:div>
        <w:div w:id="304939595">
          <w:marLeft w:val="547"/>
          <w:marRight w:val="0"/>
          <w:marTop w:val="86"/>
          <w:marBottom w:val="0"/>
          <w:divBdr>
            <w:top w:val="none" w:sz="0" w:space="0" w:color="auto"/>
            <w:left w:val="none" w:sz="0" w:space="0" w:color="auto"/>
            <w:bottom w:val="none" w:sz="0" w:space="0" w:color="auto"/>
            <w:right w:val="none" w:sz="0" w:space="0" w:color="auto"/>
          </w:divBdr>
        </w:div>
        <w:div w:id="464196715">
          <w:marLeft w:val="547"/>
          <w:marRight w:val="0"/>
          <w:marTop w:val="86"/>
          <w:marBottom w:val="0"/>
          <w:divBdr>
            <w:top w:val="none" w:sz="0" w:space="0" w:color="auto"/>
            <w:left w:val="none" w:sz="0" w:space="0" w:color="auto"/>
            <w:bottom w:val="none" w:sz="0" w:space="0" w:color="auto"/>
            <w:right w:val="none" w:sz="0" w:space="0" w:color="auto"/>
          </w:divBdr>
        </w:div>
        <w:div w:id="358362938">
          <w:marLeft w:val="547"/>
          <w:marRight w:val="0"/>
          <w:marTop w:val="86"/>
          <w:marBottom w:val="0"/>
          <w:divBdr>
            <w:top w:val="none" w:sz="0" w:space="0" w:color="auto"/>
            <w:left w:val="none" w:sz="0" w:space="0" w:color="auto"/>
            <w:bottom w:val="none" w:sz="0" w:space="0" w:color="auto"/>
            <w:right w:val="none" w:sz="0" w:space="0" w:color="auto"/>
          </w:divBdr>
        </w:div>
        <w:div w:id="1208104577">
          <w:marLeft w:val="547"/>
          <w:marRight w:val="0"/>
          <w:marTop w:val="86"/>
          <w:marBottom w:val="0"/>
          <w:divBdr>
            <w:top w:val="none" w:sz="0" w:space="0" w:color="auto"/>
            <w:left w:val="none" w:sz="0" w:space="0" w:color="auto"/>
            <w:bottom w:val="none" w:sz="0" w:space="0" w:color="auto"/>
            <w:right w:val="none" w:sz="0" w:space="0" w:color="auto"/>
          </w:divBdr>
        </w:div>
        <w:div w:id="130558650">
          <w:marLeft w:val="547"/>
          <w:marRight w:val="0"/>
          <w:marTop w:val="86"/>
          <w:marBottom w:val="0"/>
          <w:divBdr>
            <w:top w:val="none" w:sz="0" w:space="0" w:color="auto"/>
            <w:left w:val="none" w:sz="0" w:space="0" w:color="auto"/>
            <w:bottom w:val="none" w:sz="0" w:space="0" w:color="auto"/>
            <w:right w:val="none" w:sz="0" w:space="0" w:color="auto"/>
          </w:divBdr>
        </w:div>
        <w:div w:id="2001347214">
          <w:marLeft w:val="547"/>
          <w:marRight w:val="0"/>
          <w:marTop w:val="86"/>
          <w:marBottom w:val="0"/>
          <w:divBdr>
            <w:top w:val="none" w:sz="0" w:space="0" w:color="auto"/>
            <w:left w:val="none" w:sz="0" w:space="0" w:color="auto"/>
            <w:bottom w:val="none" w:sz="0" w:space="0" w:color="auto"/>
            <w:right w:val="none" w:sz="0" w:space="0" w:color="auto"/>
          </w:divBdr>
        </w:div>
      </w:divsChild>
    </w:div>
    <w:div w:id="626081438">
      <w:bodyDiv w:val="1"/>
      <w:marLeft w:val="0"/>
      <w:marRight w:val="0"/>
      <w:marTop w:val="0"/>
      <w:marBottom w:val="0"/>
      <w:divBdr>
        <w:top w:val="none" w:sz="0" w:space="0" w:color="auto"/>
        <w:left w:val="none" w:sz="0" w:space="0" w:color="auto"/>
        <w:bottom w:val="none" w:sz="0" w:space="0" w:color="auto"/>
        <w:right w:val="none" w:sz="0" w:space="0" w:color="auto"/>
      </w:divBdr>
    </w:div>
    <w:div w:id="679746360">
      <w:bodyDiv w:val="1"/>
      <w:marLeft w:val="0"/>
      <w:marRight w:val="0"/>
      <w:marTop w:val="0"/>
      <w:marBottom w:val="0"/>
      <w:divBdr>
        <w:top w:val="none" w:sz="0" w:space="0" w:color="auto"/>
        <w:left w:val="none" w:sz="0" w:space="0" w:color="auto"/>
        <w:bottom w:val="none" w:sz="0" w:space="0" w:color="auto"/>
        <w:right w:val="none" w:sz="0" w:space="0" w:color="auto"/>
      </w:divBdr>
    </w:div>
    <w:div w:id="683289081">
      <w:bodyDiv w:val="1"/>
      <w:marLeft w:val="0"/>
      <w:marRight w:val="0"/>
      <w:marTop w:val="0"/>
      <w:marBottom w:val="0"/>
      <w:divBdr>
        <w:top w:val="none" w:sz="0" w:space="0" w:color="auto"/>
        <w:left w:val="none" w:sz="0" w:space="0" w:color="auto"/>
        <w:bottom w:val="none" w:sz="0" w:space="0" w:color="auto"/>
        <w:right w:val="none" w:sz="0" w:space="0" w:color="auto"/>
      </w:divBdr>
    </w:div>
    <w:div w:id="718015930">
      <w:bodyDiv w:val="1"/>
      <w:marLeft w:val="0"/>
      <w:marRight w:val="0"/>
      <w:marTop w:val="0"/>
      <w:marBottom w:val="0"/>
      <w:divBdr>
        <w:top w:val="none" w:sz="0" w:space="0" w:color="auto"/>
        <w:left w:val="none" w:sz="0" w:space="0" w:color="auto"/>
        <w:bottom w:val="none" w:sz="0" w:space="0" w:color="auto"/>
        <w:right w:val="none" w:sz="0" w:space="0" w:color="auto"/>
      </w:divBdr>
    </w:div>
    <w:div w:id="729885198">
      <w:bodyDiv w:val="1"/>
      <w:marLeft w:val="0"/>
      <w:marRight w:val="0"/>
      <w:marTop w:val="0"/>
      <w:marBottom w:val="0"/>
      <w:divBdr>
        <w:top w:val="none" w:sz="0" w:space="0" w:color="auto"/>
        <w:left w:val="none" w:sz="0" w:space="0" w:color="auto"/>
        <w:bottom w:val="none" w:sz="0" w:space="0" w:color="auto"/>
        <w:right w:val="none" w:sz="0" w:space="0" w:color="auto"/>
      </w:divBdr>
    </w:div>
    <w:div w:id="739911681">
      <w:bodyDiv w:val="1"/>
      <w:marLeft w:val="0"/>
      <w:marRight w:val="0"/>
      <w:marTop w:val="0"/>
      <w:marBottom w:val="0"/>
      <w:divBdr>
        <w:top w:val="none" w:sz="0" w:space="0" w:color="auto"/>
        <w:left w:val="none" w:sz="0" w:space="0" w:color="auto"/>
        <w:bottom w:val="none" w:sz="0" w:space="0" w:color="auto"/>
        <w:right w:val="none" w:sz="0" w:space="0" w:color="auto"/>
      </w:divBdr>
    </w:div>
    <w:div w:id="794912219">
      <w:bodyDiv w:val="1"/>
      <w:marLeft w:val="0"/>
      <w:marRight w:val="0"/>
      <w:marTop w:val="0"/>
      <w:marBottom w:val="0"/>
      <w:divBdr>
        <w:top w:val="none" w:sz="0" w:space="0" w:color="auto"/>
        <w:left w:val="none" w:sz="0" w:space="0" w:color="auto"/>
        <w:bottom w:val="none" w:sz="0" w:space="0" w:color="auto"/>
        <w:right w:val="none" w:sz="0" w:space="0" w:color="auto"/>
      </w:divBdr>
      <w:divsChild>
        <w:div w:id="1650359169">
          <w:marLeft w:val="0"/>
          <w:marRight w:val="0"/>
          <w:marTop w:val="0"/>
          <w:marBottom w:val="0"/>
          <w:divBdr>
            <w:top w:val="none" w:sz="0" w:space="0" w:color="auto"/>
            <w:left w:val="none" w:sz="0" w:space="0" w:color="auto"/>
            <w:bottom w:val="none" w:sz="0" w:space="0" w:color="auto"/>
            <w:right w:val="none" w:sz="0" w:space="0" w:color="auto"/>
          </w:divBdr>
          <w:divsChild>
            <w:div w:id="771165007">
              <w:marLeft w:val="0"/>
              <w:marRight w:val="0"/>
              <w:marTop w:val="0"/>
              <w:marBottom w:val="0"/>
              <w:divBdr>
                <w:top w:val="none" w:sz="0" w:space="0" w:color="auto"/>
                <w:left w:val="none" w:sz="0" w:space="0" w:color="auto"/>
                <w:bottom w:val="none" w:sz="0" w:space="0" w:color="auto"/>
                <w:right w:val="none" w:sz="0" w:space="0" w:color="auto"/>
              </w:divBdr>
              <w:divsChild>
                <w:div w:id="71782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7893808">
      <w:bodyDiv w:val="1"/>
      <w:marLeft w:val="0"/>
      <w:marRight w:val="0"/>
      <w:marTop w:val="0"/>
      <w:marBottom w:val="0"/>
      <w:divBdr>
        <w:top w:val="none" w:sz="0" w:space="0" w:color="auto"/>
        <w:left w:val="none" w:sz="0" w:space="0" w:color="auto"/>
        <w:bottom w:val="none" w:sz="0" w:space="0" w:color="auto"/>
        <w:right w:val="none" w:sz="0" w:space="0" w:color="auto"/>
      </w:divBdr>
    </w:div>
    <w:div w:id="817116187">
      <w:bodyDiv w:val="1"/>
      <w:marLeft w:val="0"/>
      <w:marRight w:val="0"/>
      <w:marTop w:val="0"/>
      <w:marBottom w:val="0"/>
      <w:divBdr>
        <w:top w:val="none" w:sz="0" w:space="0" w:color="auto"/>
        <w:left w:val="none" w:sz="0" w:space="0" w:color="auto"/>
        <w:bottom w:val="none" w:sz="0" w:space="0" w:color="auto"/>
        <w:right w:val="none" w:sz="0" w:space="0" w:color="auto"/>
      </w:divBdr>
    </w:div>
    <w:div w:id="865484963">
      <w:bodyDiv w:val="1"/>
      <w:marLeft w:val="0"/>
      <w:marRight w:val="0"/>
      <w:marTop w:val="0"/>
      <w:marBottom w:val="0"/>
      <w:divBdr>
        <w:top w:val="none" w:sz="0" w:space="0" w:color="auto"/>
        <w:left w:val="none" w:sz="0" w:space="0" w:color="auto"/>
        <w:bottom w:val="none" w:sz="0" w:space="0" w:color="auto"/>
        <w:right w:val="none" w:sz="0" w:space="0" w:color="auto"/>
      </w:divBdr>
      <w:divsChild>
        <w:div w:id="1546747589">
          <w:marLeft w:val="547"/>
          <w:marRight w:val="0"/>
          <w:marTop w:val="0"/>
          <w:marBottom w:val="0"/>
          <w:divBdr>
            <w:top w:val="none" w:sz="0" w:space="0" w:color="auto"/>
            <w:left w:val="none" w:sz="0" w:space="0" w:color="auto"/>
            <w:bottom w:val="none" w:sz="0" w:space="0" w:color="auto"/>
            <w:right w:val="none" w:sz="0" w:space="0" w:color="auto"/>
          </w:divBdr>
        </w:div>
        <w:div w:id="1429079345">
          <w:marLeft w:val="1166"/>
          <w:marRight w:val="0"/>
          <w:marTop w:val="0"/>
          <w:marBottom w:val="0"/>
          <w:divBdr>
            <w:top w:val="none" w:sz="0" w:space="0" w:color="auto"/>
            <w:left w:val="none" w:sz="0" w:space="0" w:color="auto"/>
            <w:bottom w:val="none" w:sz="0" w:space="0" w:color="auto"/>
            <w:right w:val="none" w:sz="0" w:space="0" w:color="auto"/>
          </w:divBdr>
        </w:div>
        <w:div w:id="1199784752">
          <w:marLeft w:val="1166"/>
          <w:marRight w:val="0"/>
          <w:marTop w:val="0"/>
          <w:marBottom w:val="0"/>
          <w:divBdr>
            <w:top w:val="none" w:sz="0" w:space="0" w:color="auto"/>
            <w:left w:val="none" w:sz="0" w:space="0" w:color="auto"/>
            <w:bottom w:val="none" w:sz="0" w:space="0" w:color="auto"/>
            <w:right w:val="none" w:sz="0" w:space="0" w:color="auto"/>
          </w:divBdr>
        </w:div>
      </w:divsChild>
    </w:div>
    <w:div w:id="877207599">
      <w:bodyDiv w:val="1"/>
      <w:marLeft w:val="0"/>
      <w:marRight w:val="0"/>
      <w:marTop w:val="0"/>
      <w:marBottom w:val="0"/>
      <w:divBdr>
        <w:top w:val="none" w:sz="0" w:space="0" w:color="auto"/>
        <w:left w:val="none" w:sz="0" w:space="0" w:color="auto"/>
        <w:bottom w:val="none" w:sz="0" w:space="0" w:color="auto"/>
        <w:right w:val="none" w:sz="0" w:space="0" w:color="auto"/>
      </w:divBdr>
    </w:div>
    <w:div w:id="948584064">
      <w:bodyDiv w:val="1"/>
      <w:marLeft w:val="0"/>
      <w:marRight w:val="0"/>
      <w:marTop w:val="0"/>
      <w:marBottom w:val="0"/>
      <w:divBdr>
        <w:top w:val="none" w:sz="0" w:space="0" w:color="auto"/>
        <w:left w:val="none" w:sz="0" w:space="0" w:color="auto"/>
        <w:bottom w:val="none" w:sz="0" w:space="0" w:color="auto"/>
        <w:right w:val="none" w:sz="0" w:space="0" w:color="auto"/>
      </w:divBdr>
      <w:divsChild>
        <w:div w:id="2006081218">
          <w:marLeft w:val="547"/>
          <w:marRight w:val="0"/>
          <w:marTop w:val="0"/>
          <w:marBottom w:val="0"/>
          <w:divBdr>
            <w:top w:val="none" w:sz="0" w:space="0" w:color="auto"/>
            <w:left w:val="none" w:sz="0" w:space="0" w:color="auto"/>
            <w:bottom w:val="none" w:sz="0" w:space="0" w:color="auto"/>
            <w:right w:val="none" w:sz="0" w:space="0" w:color="auto"/>
          </w:divBdr>
        </w:div>
        <w:div w:id="1624799804">
          <w:marLeft w:val="1166"/>
          <w:marRight w:val="0"/>
          <w:marTop w:val="0"/>
          <w:marBottom w:val="0"/>
          <w:divBdr>
            <w:top w:val="none" w:sz="0" w:space="0" w:color="auto"/>
            <w:left w:val="none" w:sz="0" w:space="0" w:color="auto"/>
            <w:bottom w:val="none" w:sz="0" w:space="0" w:color="auto"/>
            <w:right w:val="none" w:sz="0" w:space="0" w:color="auto"/>
          </w:divBdr>
        </w:div>
        <w:div w:id="2089115873">
          <w:marLeft w:val="1166"/>
          <w:marRight w:val="0"/>
          <w:marTop w:val="0"/>
          <w:marBottom w:val="0"/>
          <w:divBdr>
            <w:top w:val="none" w:sz="0" w:space="0" w:color="auto"/>
            <w:left w:val="none" w:sz="0" w:space="0" w:color="auto"/>
            <w:bottom w:val="none" w:sz="0" w:space="0" w:color="auto"/>
            <w:right w:val="none" w:sz="0" w:space="0" w:color="auto"/>
          </w:divBdr>
        </w:div>
      </w:divsChild>
    </w:div>
    <w:div w:id="985858860">
      <w:bodyDiv w:val="1"/>
      <w:marLeft w:val="0"/>
      <w:marRight w:val="0"/>
      <w:marTop w:val="0"/>
      <w:marBottom w:val="0"/>
      <w:divBdr>
        <w:top w:val="none" w:sz="0" w:space="0" w:color="auto"/>
        <w:left w:val="none" w:sz="0" w:space="0" w:color="auto"/>
        <w:bottom w:val="none" w:sz="0" w:space="0" w:color="auto"/>
        <w:right w:val="none" w:sz="0" w:space="0" w:color="auto"/>
      </w:divBdr>
    </w:div>
    <w:div w:id="992218781">
      <w:bodyDiv w:val="1"/>
      <w:marLeft w:val="0"/>
      <w:marRight w:val="0"/>
      <w:marTop w:val="0"/>
      <w:marBottom w:val="0"/>
      <w:divBdr>
        <w:top w:val="none" w:sz="0" w:space="0" w:color="auto"/>
        <w:left w:val="none" w:sz="0" w:space="0" w:color="auto"/>
        <w:bottom w:val="none" w:sz="0" w:space="0" w:color="auto"/>
        <w:right w:val="none" w:sz="0" w:space="0" w:color="auto"/>
      </w:divBdr>
    </w:div>
    <w:div w:id="1073088429">
      <w:bodyDiv w:val="1"/>
      <w:marLeft w:val="0"/>
      <w:marRight w:val="0"/>
      <w:marTop w:val="0"/>
      <w:marBottom w:val="0"/>
      <w:divBdr>
        <w:top w:val="none" w:sz="0" w:space="0" w:color="auto"/>
        <w:left w:val="none" w:sz="0" w:space="0" w:color="auto"/>
        <w:bottom w:val="none" w:sz="0" w:space="0" w:color="auto"/>
        <w:right w:val="none" w:sz="0" w:space="0" w:color="auto"/>
      </w:divBdr>
    </w:div>
    <w:div w:id="1106853742">
      <w:bodyDiv w:val="1"/>
      <w:marLeft w:val="0"/>
      <w:marRight w:val="0"/>
      <w:marTop w:val="0"/>
      <w:marBottom w:val="0"/>
      <w:divBdr>
        <w:top w:val="none" w:sz="0" w:space="0" w:color="auto"/>
        <w:left w:val="none" w:sz="0" w:space="0" w:color="auto"/>
        <w:bottom w:val="none" w:sz="0" w:space="0" w:color="auto"/>
        <w:right w:val="none" w:sz="0" w:space="0" w:color="auto"/>
      </w:divBdr>
      <w:divsChild>
        <w:div w:id="1574781588">
          <w:marLeft w:val="0"/>
          <w:marRight w:val="0"/>
          <w:marTop w:val="0"/>
          <w:marBottom w:val="0"/>
          <w:divBdr>
            <w:top w:val="none" w:sz="0" w:space="0" w:color="auto"/>
            <w:left w:val="none" w:sz="0" w:space="0" w:color="auto"/>
            <w:bottom w:val="none" w:sz="0" w:space="0" w:color="auto"/>
            <w:right w:val="none" w:sz="0" w:space="0" w:color="auto"/>
          </w:divBdr>
          <w:divsChild>
            <w:div w:id="364448891">
              <w:marLeft w:val="0"/>
              <w:marRight w:val="0"/>
              <w:marTop w:val="0"/>
              <w:marBottom w:val="0"/>
              <w:divBdr>
                <w:top w:val="none" w:sz="0" w:space="0" w:color="auto"/>
                <w:left w:val="none" w:sz="0" w:space="0" w:color="auto"/>
                <w:bottom w:val="none" w:sz="0" w:space="0" w:color="auto"/>
                <w:right w:val="none" w:sz="0" w:space="0" w:color="auto"/>
              </w:divBdr>
              <w:divsChild>
                <w:div w:id="1256011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0630099">
      <w:bodyDiv w:val="1"/>
      <w:marLeft w:val="0"/>
      <w:marRight w:val="0"/>
      <w:marTop w:val="0"/>
      <w:marBottom w:val="0"/>
      <w:divBdr>
        <w:top w:val="none" w:sz="0" w:space="0" w:color="auto"/>
        <w:left w:val="none" w:sz="0" w:space="0" w:color="auto"/>
        <w:bottom w:val="none" w:sz="0" w:space="0" w:color="auto"/>
        <w:right w:val="none" w:sz="0" w:space="0" w:color="auto"/>
      </w:divBdr>
    </w:div>
    <w:div w:id="1196230160">
      <w:bodyDiv w:val="1"/>
      <w:marLeft w:val="0"/>
      <w:marRight w:val="0"/>
      <w:marTop w:val="0"/>
      <w:marBottom w:val="0"/>
      <w:divBdr>
        <w:top w:val="none" w:sz="0" w:space="0" w:color="auto"/>
        <w:left w:val="none" w:sz="0" w:space="0" w:color="auto"/>
        <w:bottom w:val="none" w:sz="0" w:space="0" w:color="auto"/>
        <w:right w:val="none" w:sz="0" w:space="0" w:color="auto"/>
      </w:divBdr>
      <w:divsChild>
        <w:div w:id="766198866">
          <w:marLeft w:val="547"/>
          <w:marRight w:val="0"/>
          <w:marTop w:val="96"/>
          <w:marBottom w:val="0"/>
          <w:divBdr>
            <w:top w:val="none" w:sz="0" w:space="0" w:color="auto"/>
            <w:left w:val="none" w:sz="0" w:space="0" w:color="auto"/>
            <w:bottom w:val="none" w:sz="0" w:space="0" w:color="auto"/>
            <w:right w:val="none" w:sz="0" w:space="0" w:color="auto"/>
          </w:divBdr>
        </w:div>
        <w:div w:id="462506735">
          <w:marLeft w:val="1166"/>
          <w:marRight w:val="0"/>
          <w:marTop w:val="86"/>
          <w:marBottom w:val="0"/>
          <w:divBdr>
            <w:top w:val="none" w:sz="0" w:space="0" w:color="auto"/>
            <w:left w:val="none" w:sz="0" w:space="0" w:color="auto"/>
            <w:bottom w:val="none" w:sz="0" w:space="0" w:color="auto"/>
            <w:right w:val="none" w:sz="0" w:space="0" w:color="auto"/>
          </w:divBdr>
        </w:div>
        <w:div w:id="952446082">
          <w:marLeft w:val="1166"/>
          <w:marRight w:val="0"/>
          <w:marTop w:val="86"/>
          <w:marBottom w:val="0"/>
          <w:divBdr>
            <w:top w:val="none" w:sz="0" w:space="0" w:color="auto"/>
            <w:left w:val="none" w:sz="0" w:space="0" w:color="auto"/>
            <w:bottom w:val="none" w:sz="0" w:space="0" w:color="auto"/>
            <w:right w:val="none" w:sz="0" w:space="0" w:color="auto"/>
          </w:divBdr>
        </w:div>
        <w:div w:id="964694048">
          <w:marLeft w:val="1166"/>
          <w:marRight w:val="0"/>
          <w:marTop w:val="86"/>
          <w:marBottom w:val="0"/>
          <w:divBdr>
            <w:top w:val="none" w:sz="0" w:space="0" w:color="auto"/>
            <w:left w:val="none" w:sz="0" w:space="0" w:color="auto"/>
            <w:bottom w:val="none" w:sz="0" w:space="0" w:color="auto"/>
            <w:right w:val="none" w:sz="0" w:space="0" w:color="auto"/>
          </w:divBdr>
        </w:div>
        <w:div w:id="1308634774">
          <w:marLeft w:val="547"/>
          <w:marRight w:val="0"/>
          <w:marTop w:val="96"/>
          <w:marBottom w:val="0"/>
          <w:divBdr>
            <w:top w:val="none" w:sz="0" w:space="0" w:color="auto"/>
            <w:left w:val="none" w:sz="0" w:space="0" w:color="auto"/>
            <w:bottom w:val="none" w:sz="0" w:space="0" w:color="auto"/>
            <w:right w:val="none" w:sz="0" w:space="0" w:color="auto"/>
          </w:divBdr>
        </w:div>
      </w:divsChild>
    </w:div>
    <w:div w:id="1293555661">
      <w:bodyDiv w:val="1"/>
      <w:marLeft w:val="0"/>
      <w:marRight w:val="0"/>
      <w:marTop w:val="0"/>
      <w:marBottom w:val="0"/>
      <w:divBdr>
        <w:top w:val="none" w:sz="0" w:space="0" w:color="auto"/>
        <w:left w:val="none" w:sz="0" w:space="0" w:color="auto"/>
        <w:bottom w:val="none" w:sz="0" w:space="0" w:color="auto"/>
        <w:right w:val="none" w:sz="0" w:space="0" w:color="auto"/>
      </w:divBdr>
    </w:div>
    <w:div w:id="1375277767">
      <w:bodyDiv w:val="1"/>
      <w:marLeft w:val="0"/>
      <w:marRight w:val="0"/>
      <w:marTop w:val="0"/>
      <w:marBottom w:val="0"/>
      <w:divBdr>
        <w:top w:val="none" w:sz="0" w:space="0" w:color="auto"/>
        <w:left w:val="none" w:sz="0" w:space="0" w:color="auto"/>
        <w:bottom w:val="none" w:sz="0" w:space="0" w:color="auto"/>
        <w:right w:val="none" w:sz="0" w:space="0" w:color="auto"/>
      </w:divBdr>
    </w:div>
    <w:div w:id="1417052041">
      <w:bodyDiv w:val="1"/>
      <w:marLeft w:val="0"/>
      <w:marRight w:val="0"/>
      <w:marTop w:val="0"/>
      <w:marBottom w:val="0"/>
      <w:divBdr>
        <w:top w:val="none" w:sz="0" w:space="0" w:color="auto"/>
        <w:left w:val="none" w:sz="0" w:space="0" w:color="auto"/>
        <w:bottom w:val="none" w:sz="0" w:space="0" w:color="auto"/>
        <w:right w:val="none" w:sz="0" w:space="0" w:color="auto"/>
      </w:divBdr>
      <w:divsChild>
        <w:div w:id="1806897797">
          <w:marLeft w:val="547"/>
          <w:marRight w:val="0"/>
          <w:marTop w:val="96"/>
          <w:marBottom w:val="0"/>
          <w:divBdr>
            <w:top w:val="none" w:sz="0" w:space="0" w:color="auto"/>
            <w:left w:val="none" w:sz="0" w:space="0" w:color="auto"/>
            <w:bottom w:val="none" w:sz="0" w:space="0" w:color="auto"/>
            <w:right w:val="none" w:sz="0" w:space="0" w:color="auto"/>
          </w:divBdr>
        </w:div>
        <w:div w:id="1422528939">
          <w:marLeft w:val="547"/>
          <w:marRight w:val="0"/>
          <w:marTop w:val="96"/>
          <w:marBottom w:val="0"/>
          <w:divBdr>
            <w:top w:val="none" w:sz="0" w:space="0" w:color="auto"/>
            <w:left w:val="none" w:sz="0" w:space="0" w:color="auto"/>
            <w:bottom w:val="none" w:sz="0" w:space="0" w:color="auto"/>
            <w:right w:val="none" w:sz="0" w:space="0" w:color="auto"/>
          </w:divBdr>
        </w:div>
        <w:div w:id="2084446393">
          <w:marLeft w:val="547"/>
          <w:marRight w:val="0"/>
          <w:marTop w:val="96"/>
          <w:marBottom w:val="0"/>
          <w:divBdr>
            <w:top w:val="none" w:sz="0" w:space="0" w:color="auto"/>
            <w:left w:val="none" w:sz="0" w:space="0" w:color="auto"/>
            <w:bottom w:val="none" w:sz="0" w:space="0" w:color="auto"/>
            <w:right w:val="none" w:sz="0" w:space="0" w:color="auto"/>
          </w:divBdr>
        </w:div>
        <w:div w:id="640380401">
          <w:marLeft w:val="547"/>
          <w:marRight w:val="0"/>
          <w:marTop w:val="96"/>
          <w:marBottom w:val="0"/>
          <w:divBdr>
            <w:top w:val="none" w:sz="0" w:space="0" w:color="auto"/>
            <w:left w:val="none" w:sz="0" w:space="0" w:color="auto"/>
            <w:bottom w:val="none" w:sz="0" w:space="0" w:color="auto"/>
            <w:right w:val="none" w:sz="0" w:space="0" w:color="auto"/>
          </w:divBdr>
        </w:div>
        <w:div w:id="946078922">
          <w:marLeft w:val="547"/>
          <w:marRight w:val="0"/>
          <w:marTop w:val="96"/>
          <w:marBottom w:val="0"/>
          <w:divBdr>
            <w:top w:val="none" w:sz="0" w:space="0" w:color="auto"/>
            <w:left w:val="none" w:sz="0" w:space="0" w:color="auto"/>
            <w:bottom w:val="none" w:sz="0" w:space="0" w:color="auto"/>
            <w:right w:val="none" w:sz="0" w:space="0" w:color="auto"/>
          </w:divBdr>
        </w:div>
        <w:div w:id="2123915133">
          <w:marLeft w:val="547"/>
          <w:marRight w:val="0"/>
          <w:marTop w:val="96"/>
          <w:marBottom w:val="0"/>
          <w:divBdr>
            <w:top w:val="none" w:sz="0" w:space="0" w:color="auto"/>
            <w:left w:val="none" w:sz="0" w:space="0" w:color="auto"/>
            <w:bottom w:val="none" w:sz="0" w:space="0" w:color="auto"/>
            <w:right w:val="none" w:sz="0" w:space="0" w:color="auto"/>
          </w:divBdr>
        </w:div>
      </w:divsChild>
    </w:div>
    <w:div w:id="1427262209">
      <w:bodyDiv w:val="1"/>
      <w:marLeft w:val="0"/>
      <w:marRight w:val="0"/>
      <w:marTop w:val="0"/>
      <w:marBottom w:val="0"/>
      <w:divBdr>
        <w:top w:val="none" w:sz="0" w:space="0" w:color="auto"/>
        <w:left w:val="none" w:sz="0" w:space="0" w:color="auto"/>
        <w:bottom w:val="none" w:sz="0" w:space="0" w:color="auto"/>
        <w:right w:val="none" w:sz="0" w:space="0" w:color="auto"/>
      </w:divBdr>
    </w:div>
    <w:div w:id="1453010801">
      <w:bodyDiv w:val="1"/>
      <w:marLeft w:val="0"/>
      <w:marRight w:val="0"/>
      <w:marTop w:val="0"/>
      <w:marBottom w:val="0"/>
      <w:divBdr>
        <w:top w:val="none" w:sz="0" w:space="0" w:color="auto"/>
        <w:left w:val="none" w:sz="0" w:space="0" w:color="auto"/>
        <w:bottom w:val="none" w:sz="0" w:space="0" w:color="auto"/>
        <w:right w:val="none" w:sz="0" w:space="0" w:color="auto"/>
      </w:divBdr>
    </w:div>
    <w:div w:id="1467118900">
      <w:bodyDiv w:val="1"/>
      <w:marLeft w:val="0"/>
      <w:marRight w:val="0"/>
      <w:marTop w:val="0"/>
      <w:marBottom w:val="0"/>
      <w:divBdr>
        <w:top w:val="none" w:sz="0" w:space="0" w:color="auto"/>
        <w:left w:val="none" w:sz="0" w:space="0" w:color="auto"/>
        <w:bottom w:val="none" w:sz="0" w:space="0" w:color="auto"/>
        <w:right w:val="none" w:sz="0" w:space="0" w:color="auto"/>
      </w:divBdr>
    </w:div>
    <w:div w:id="1468888558">
      <w:bodyDiv w:val="1"/>
      <w:marLeft w:val="0"/>
      <w:marRight w:val="0"/>
      <w:marTop w:val="0"/>
      <w:marBottom w:val="0"/>
      <w:divBdr>
        <w:top w:val="none" w:sz="0" w:space="0" w:color="auto"/>
        <w:left w:val="none" w:sz="0" w:space="0" w:color="auto"/>
        <w:bottom w:val="none" w:sz="0" w:space="0" w:color="auto"/>
        <w:right w:val="none" w:sz="0" w:space="0" w:color="auto"/>
      </w:divBdr>
    </w:div>
    <w:div w:id="1535388038">
      <w:bodyDiv w:val="1"/>
      <w:marLeft w:val="0"/>
      <w:marRight w:val="0"/>
      <w:marTop w:val="0"/>
      <w:marBottom w:val="0"/>
      <w:divBdr>
        <w:top w:val="none" w:sz="0" w:space="0" w:color="auto"/>
        <w:left w:val="none" w:sz="0" w:space="0" w:color="auto"/>
        <w:bottom w:val="none" w:sz="0" w:space="0" w:color="auto"/>
        <w:right w:val="none" w:sz="0" w:space="0" w:color="auto"/>
      </w:divBdr>
    </w:div>
    <w:div w:id="1584215044">
      <w:bodyDiv w:val="1"/>
      <w:marLeft w:val="0"/>
      <w:marRight w:val="0"/>
      <w:marTop w:val="0"/>
      <w:marBottom w:val="0"/>
      <w:divBdr>
        <w:top w:val="none" w:sz="0" w:space="0" w:color="auto"/>
        <w:left w:val="none" w:sz="0" w:space="0" w:color="auto"/>
        <w:bottom w:val="none" w:sz="0" w:space="0" w:color="auto"/>
        <w:right w:val="none" w:sz="0" w:space="0" w:color="auto"/>
      </w:divBdr>
      <w:divsChild>
        <w:div w:id="427777408">
          <w:marLeft w:val="547"/>
          <w:marRight w:val="0"/>
          <w:marTop w:val="96"/>
          <w:marBottom w:val="0"/>
          <w:divBdr>
            <w:top w:val="none" w:sz="0" w:space="0" w:color="auto"/>
            <w:left w:val="none" w:sz="0" w:space="0" w:color="auto"/>
            <w:bottom w:val="none" w:sz="0" w:space="0" w:color="auto"/>
            <w:right w:val="none" w:sz="0" w:space="0" w:color="auto"/>
          </w:divBdr>
        </w:div>
        <w:div w:id="645861445">
          <w:marLeft w:val="1166"/>
          <w:marRight w:val="0"/>
          <w:marTop w:val="86"/>
          <w:marBottom w:val="0"/>
          <w:divBdr>
            <w:top w:val="none" w:sz="0" w:space="0" w:color="auto"/>
            <w:left w:val="none" w:sz="0" w:space="0" w:color="auto"/>
            <w:bottom w:val="none" w:sz="0" w:space="0" w:color="auto"/>
            <w:right w:val="none" w:sz="0" w:space="0" w:color="auto"/>
          </w:divBdr>
        </w:div>
        <w:div w:id="1128206296">
          <w:marLeft w:val="1166"/>
          <w:marRight w:val="0"/>
          <w:marTop w:val="86"/>
          <w:marBottom w:val="0"/>
          <w:divBdr>
            <w:top w:val="none" w:sz="0" w:space="0" w:color="auto"/>
            <w:left w:val="none" w:sz="0" w:space="0" w:color="auto"/>
            <w:bottom w:val="none" w:sz="0" w:space="0" w:color="auto"/>
            <w:right w:val="none" w:sz="0" w:space="0" w:color="auto"/>
          </w:divBdr>
        </w:div>
        <w:div w:id="1138570235">
          <w:marLeft w:val="1166"/>
          <w:marRight w:val="0"/>
          <w:marTop w:val="86"/>
          <w:marBottom w:val="0"/>
          <w:divBdr>
            <w:top w:val="none" w:sz="0" w:space="0" w:color="auto"/>
            <w:left w:val="none" w:sz="0" w:space="0" w:color="auto"/>
            <w:bottom w:val="none" w:sz="0" w:space="0" w:color="auto"/>
            <w:right w:val="none" w:sz="0" w:space="0" w:color="auto"/>
          </w:divBdr>
        </w:div>
        <w:div w:id="906766265">
          <w:marLeft w:val="1166"/>
          <w:marRight w:val="0"/>
          <w:marTop w:val="86"/>
          <w:marBottom w:val="0"/>
          <w:divBdr>
            <w:top w:val="none" w:sz="0" w:space="0" w:color="auto"/>
            <w:left w:val="none" w:sz="0" w:space="0" w:color="auto"/>
            <w:bottom w:val="none" w:sz="0" w:space="0" w:color="auto"/>
            <w:right w:val="none" w:sz="0" w:space="0" w:color="auto"/>
          </w:divBdr>
        </w:div>
        <w:div w:id="586886427">
          <w:marLeft w:val="1166"/>
          <w:marRight w:val="0"/>
          <w:marTop w:val="86"/>
          <w:marBottom w:val="0"/>
          <w:divBdr>
            <w:top w:val="none" w:sz="0" w:space="0" w:color="auto"/>
            <w:left w:val="none" w:sz="0" w:space="0" w:color="auto"/>
            <w:bottom w:val="none" w:sz="0" w:space="0" w:color="auto"/>
            <w:right w:val="none" w:sz="0" w:space="0" w:color="auto"/>
          </w:divBdr>
        </w:div>
        <w:div w:id="934048609">
          <w:marLeft w:val="1166"/>
          <w:marRight w:val="0"/>
          <w:marTop w:val="86"/>
          <w:marBottom w:val="0"/>
          <w:divBdr>
            <w:top w:val="none" w:sz="0" w:space="0" w:color="auto"/>
            <w:left w:val="none" w:sz="0" w:space="0" w:color="auto"/>
            <w:bottom w:val="none" w:sz="0" w:space="0" w:color="auto"/>
            <w:right w:val="none" w:sz="0" w:space="0" w:color="auto"/>
          </w:divBdr>
        </w:div>
        <w:div w:id="933438749">
          <w:marLeft w:val="1166"/>
          <w:marRight w:val="0"/>
          <w:marTop w:val="86"/>
          <w:marBottom w:val="0"/>
          <w:divBdr>
            <w:top w:val="none" w:sz="0" w:space="0" w:color="auto"/>
            <w:left w:val="none" w:sz="0" w:space="0" w:color="auto"/>
            <w:bottom w:val="none" w:sz="0" w:space="0" w:color="auto"/>
            <w:right w:val="none" w:sz="0" w:space="0" w:color="auto"/>
          </w:divBdr>
        </w:div>
      </w:divsChild>
    </w:div>
    <w:div w:id="1601569848">
      <w:bodyDiv w:val="1"/>
      <w:marLeft w:val="0"/>
      <w:marRight w:val="0"/>
      <w:marTop w:val="0"/>
      <w:marBottom w:val="0"/>
      <w:divBdr>
        <w:top w:val="none" w:sz="0" w:space="0" w:color="auto"/>
        <w:left w:val="none" w:sz="0" w:space="0" w:color="auto"/>
        <w:bottom w:val="none" w:sz="0" w:space="0" w:color="auto"/>
        <w:right w:val="none" w:sz="0" w:space="0" w:color="auto"/>
      </w:divBdr>
    </w:div>
    <w:div w:id="1613315836">
      <w:bodyDiv w:val="1"/>
      <w:marLeft w:val="0"/>
      <w:marRight w:val="0"/>
      <w:marTop w:val="0"/>
      <w:marBottom w:val="0"/>
      <w:divBdr>
        <w:top w:val="none" w:sz="0" w:space="0" w:color="auto"/>
        <w:left w:val="none" w:sz="0" w:space="0" w:color="auto"/>
        <w:bottom w:val="none" w:sz="0" w:space="0" w:color="auto"/>
        <w:right w:val="none" w:sz="0" w:space="0" w:color="auto"/>
      </w:divBdr>
    </w:div>
    <w:div w:id="1622959333">
      <w:bodyDiv w:val="1"/>
      <w:marLeft w:val="0"/>
      <w:marRight w:val="0"/>
      <w:marTop w:val="0"/>
      <w:marBottom w:val="0"/>
      <w:divBdr>
        <w:top w:val="none" w:sz="0" w:space="0" w:color="auto"/>
        <w:left w:val="none" w:sz="0" w:space="0" w:color="auto"/>
        <w:bottom w:val="none" w:sz="0" w:space="0" w:color="auto"/>
        <w:right w:val="none" w:sz="0" w:space="0" w:color="auto"/>
      </w:divBdr>
      <w:divsChild>
        <w:div w:id="1309362133">
          <w:marLeft w:val="547"/>
          <w:marRight w:val="0"/>
          <w:marTop w:val="0"/>
          <w:marBottom w:val="0"/>
          <w:divBdr>
            <w:top w:val="none" w:sz="0" w:space="0" w:color="auto"/>
            <w:left w:val="none" w:sz="0" w:space="0" w:color="auto"/>
            <w:bottom w:val="none" w:sz="0" w:space="0" w:color="auto"/>
            <w:right w:val="none" w:sz="0" w:space="0" w:color="auto"/>
          </w:divBdr>
        </w:div>
        <w:div w:id="349113676">
          <w:marLeft w:val="1166"/>
          <w:marRight w:val="0"/>
          <w:marTop w:val="0"/>
          <w:marBottom w:val="0"/>
          <w:divBdr>
            <w:top w:val="none" w:sz="0" w:space="0" w:color="auto"/>
            <w:left w:val="none" w:sz="0" w:space="0" w:color="auto"/>
            <w:bottom w:val="none" w:sz="0" w:space="0" w:color="auto"/>
            <w:right w:val="none" w:sz="0" w:space="0" w:color="auto"/>
          </w:divBdr>
        </w:div>
        <w:div w:id="1216501505">
          <w:marLeft w:val="1166"/>
          <w:marRight w:val="0"/>
          <w:marTop w:val="0"/>
          <w:marBottom w:val="0"/>
          <w:divBdr>
            <w:top w:val="none" w:sz="0" w:space="0" w:color="auto"/>
            <w:left w:val="none" w:sz="0" w:space="0" w:color="auto"/>
            <w:bottom w:val="none" w:sz="0" w:space="0" w:color="auto"/>
            <w:right w:val="none" w:sz="0" w:space="0" w:color="auto"/>
          </w:divBdr>
        </w:div>
        <w:div w:id="1145505765">
          <w:marLeft w:val="1166"/>
          <w:marRight w:val="0"/>
          <w:marTop w:val="0"/>
          <w:marBottom w:val="0"/>
          <w:divBdr>
            <w:top w:val="none" w:sz="0" w:space="0" w:color="auto"/>
            <w:left w:val="none" w:sz="0" w:space="0" w:color="auto"/>
            <w:bottom w:val="none" w:sz="0" w:space="0" w:color="auto"/>
            <w:right w:val="none" w:sz="0" w:space="0" w:color="auto"/>
          </w:divBdr>
        </w:div>
        <w:div w:id="850217241">
          <w:marLeft w:val="1166"/>
          <w:marRight w:val="0"/>
          <w:marTop w:val="0"/>
          <w:marBottom w:val="0"/>
          <w:divBdr>
            <w:top w:val="none" w:sz="0" w:space="0" w:color="auto"/>
            <w:left w:val="none" w:sz="0" w:space="0" w:color="auto"/>
            <w:bottom w:val="none" w:sz="0" w:space="0" w:color="auto"/>
            <w:right w:val="none" w:sz="0" w:space="0" w:color="auto"/>
          </w:divBdr>
        </w:div>
      </w:divsChild>
    </w:div>
    <w:div w:id="1645499652">
      <w:bodyDiv w:val="1"/>
      <w:marLeft w:val="0"/>
      <w:marRight w:val="0"/>
      <w:marTop w:val="0"/>
      <w:marBottom w:val="0"/>
      <w:divBdr>
        <w:top w:val="none" w:sz="0" w:space="0" w:color="auto"/>
        <w:left w:val="none" w:sz="0" w:space="0" w:color="auto"/>
        <w:bottom w:val="none" w:sz="0" w:space="0" w:color="auto"/>
        <w:right w:val="none" w:sz="0" w:space="0" w:color="auto"/>
      </w:divBdr>
    </w:div>
    <w:div w:id="1738286067">
      <w:bodyDiv w:val="1"/>
      <w:marLeft w:val="0"/>
      <w:marRight w:val="0"/>
      <w:marTop w:val="0"/>
      <w:marBottom w:val="0"/>
      <w:divBdr>
        <w:top w:val="none" w:sz="0" w:space="0" w:color="auto"/>
        <w:left w:val="none" w:sz="0" w:space="0" w:color="auto"/>
        <w:bottom w:val="none" w:sz="0" w:space="0" w:color="auto"/>
        <w:right w:val="none" w:sz="0" w:space="0" w:color="auto"/>
      </w:divBdr>
    </w:div>
    <w:div w:id="1799376417">
      <w:bodyDiv w:val="1"/>
      <w:marLeft w:val="0"/>
      <w:marRight w:val="0"/>
      <w:marTop w:val="0"/>
      <w:marBottom w:val="0"/>
      <w:divBdr>
        <w:top w:val="none" w:sz="0" w:space="0" w:color="auto"/>
        <w:left w:val="none" w:sz="0" w:space="0" w:color="auto"/>
        <w:bottom w:val="none" w:sz="0" w:space="0" w:color="auto"/>
        <w:right w:val="none" w:sz="0" w:space="0" w:color="auto"/>
      </w:divBdr>
    </w:div>
    <w:div w:id="1816532632">
      <w:bodyDiv w:val="1"/>
      <w:marLeft w:val="0"/>
      <w:marRight w:val="0"/>
      <w:marTop w:val="0"/>
      <w:marBottom w:val="0"/>
      <w:divBdr>
        <w:top w:val="none" w:sz="0" w:space="0" w:color="auto"/>
        <w:left w:val="none" w:sz="0" w:space="0" w:color="auto"/>
        <w:bottom w:val="none" w:sz="0" w:space="0" w:color="auto"/>
        <w:right w:val="none" w:sz="0" w:space="0" w:color="auto"/>
      </w:divBdr>
    </w:div>
    <w:div w:id="1864126083">
      <w:bodyDiv w:val="1"/>
      <w:marLeft w:val="0"/>
      <w:marRight w:val="0"/>
      <w:marTop w:val="0"/>
      <w:marBottom w:val="0"/>
      <w:divBdr>
        <w:top w:val="none" w:sz="0" w:space="0" w:color="auto"/>
        <w:left w:val="none" w:sz="0" w:space="0" w:color="auto"/>
        <w:bottom w:val="none" w:sz="0" w:space="0" w:color="auto"/>
        <w:right w:val="none" w:sz="0" w:space="0" w:color="auto"/>
      </w:divBdr>
    </w:div>
    <w:div w:id="1927836005">
      <w:bodyDiv w:val="1"/>
      <w:marLeft w:val="0"/>
      <w:marRight w:val="0"/>
      <w:marTop w:val="0"/>
      <w:marBottom w:val="0"/>
      <w:divBdr>
        <w:top w:val="none" w:sz="0" w:space="0" w:color="auto"/>
        <w:left w:val="none" w:sz="0" w:space="0" w:color="auto"/>
        <w:bottom w:val="none" w:sz="0" w:space="0" w:color="auto"/>
        <w:right w:val="none" w:sz="0" w:space="0" w:color="auto"/>
      </w:divBdr>
    </w:div>
    <w:div w:id="1972856201">
      <w:bodyDiv w:val="1"/>
      <w:marLeft w:val="0"/>
      <w:marRight w:val="0"/>
      <w:marTop w:val="0"/>
      <w:marBottom w:val="0"/>
      <w:divBdr>
        <w:top w:val="none" w:sz="0" w:space="0" w:color="auto"/>
        <w:left w:val="none" w:sz="0" w:space="0" w:color="auto"/>
        <w:bottom w:val="none" w:sz="0" w:space="0" w:color="auto"/>
        <w:right w:val="none" w:sz="0" w:space="0" w:color="auto"/>
      </w:divBdr>
      <w:divsChild>
        <w:div w:id="1395086082">
          <w:marLeft w:val="547"/>
          <w:marRight w:val="0"/>
          <w:marTop w:val="134"/>
          <w:marBottom w:val="0"/>
          <w:divBdr>
            <w:top w:val="none" w:sz="0" w:space="0" w:color="auto"/>
            <w:left w:val="none" w:sz="0" w:space="0" w:color="auto"/>
            <w:bottom w:val="none" w:sz="0" w:space="0" w:color="auto"/>
            <w:right w:val="none" w:sz="0" w:space="0" w:color="auto"/>
          </w:divBdr>
        </w:div>
        <w:div w:id="891886185">
          <w:marLeft w:val="547"/>
          <w:marRight w:val="0"/>
          <w:marTop w:val="134"/>
          <w:marBottom w:val="0"/>
          <w:divBdr>
            <w:top w:val="none" w:sz="0" w:space="0" w:color="auto"/>
            <w:left w:val="none" w:sz="0" w:space="0" w:color="auto"/>
            <w:bottom w:val="none" w:sz="0" w:space="0" w:color="auto"/>
            <w:right w:val="none" w:sz="0" w:space="0" w:color="auto"/>
          </w:divBdr>
        </w:div>
        <w:div w:id="940534174">
          <w:marLeft w:val="547"/>
          <w:marRight w:val="0"/>
          <w:marTop w:val="134"/>
          <w:marBottom w:val="0"/>
          <w:divBdr>
            <w:top w:val="none" w:sz="0" w:space="0" w:color="auto"/>
            <w:left w:val="none" w:sz="0" w:space="0" w:color="auto"/>
            <w:bottom w:val="none" w:sz="0" w:space="0" w:color="auto"/>
            <w:right w:val="none" w:sz="0" w:space="0" w:color="auto"/>
          </w:divBdr>
        </w:div>
        <w:div w:id="611670776">
          <w:marLeft w:val="547"/>
          <w:marRight w:val="0"/>
          <w:marTop w:val="134"/>
          <w:marBottom w:val="0"/>
          <w:divBdr>
            <w:top w:val="none" w:sz="0" w:space="0" w:color="auto"/>
            <w:left w:val="none" w:sz="0" w:space="0" w:color="auto"/>
            <w:bottom w:val="none" w:sz="0" w:space="0" w:color="auto"/>
            <w:right w:val="none" w:sz="0" w:space="0" w:color="auto"/>
          </w:divBdr>
        </w:div>
      </w:divsChild>
    </w:div>
    <w:div w:id="2121147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inee.org/system/files/resources/INEE_GN_Gender_2019.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ducationcluster.box.com/s/3jymgq0qqh2plhz3dlh8gz3qtj04zuw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ducationcluster.box.com/s/290icp15pjukbjzwppsina6niiwab7ft"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mackenzie.monserez@savethechildren.org" TargetMode="External"/><Relationship Id="rId4" Type="http://schemas.openxmlformats.org/officeDocument/2006/relationships/settings" Target="settings.xml"/><Relationship Id="rId9" Type="http://schemas.openxmlformats.org/officeDocument/2006/relationships/hyperlink" Target="https://educationcluster.box.com/s/9mqsahd102pzwwiq7cpobxxo0jc4cmkg" TargetMode="External"/><Relationship Id="rId14" Type="http://schemas.openxmlformats.org/officeDocument/2006/relationships/hyperlink" Target="https://educationcluster.box.com/s/3jymgq0qqh2plhz3dlh8gz3qtj04zuwe"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s://educationcluster.box.com/s/n5m5g3gjt7r1xo0qpk9utr70wu81cofl" TargetMode="External"/><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B8931-C230-7445-B980-D55DE0306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620</Words>
  <Characters>3534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CP AoR</dc:creator>
  <cp:keywords/>
  <dc:description/>
  <cp:lastModifiedBy>Monserez, Mackenzie</cp:lastModifiedBy>
  <cp:revision>5</cp:revision>
  <cp:lastPrinted>2020-02-13T08:37:00Z</cp:lastPrinted>
  <dcterms:created xsi:type="dcterms:W3CDTF">2020-08-19T08:50:00Z</dcterms:created>
  <dcterms:modified xsi:type="dcterms:W3CDTF">2020-08-19T09:49:00Z</dcterms:modified>
</cp:coreProperties>
</file>